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6" w:tblpY="1878"/>
        <w:tblOverlap w:val="never"/>
        <w:tblW w:w="14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226"/>
        <w:gridCol w:w="7230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2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参评人员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具有中华人民共和国国籍，纳入全国研究生招生计划，表现优异的基本学制年限内的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非在职</w:t>
            </w: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不可兼得优秀研究生奖学金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国家助学金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具有中华人民共和国国籍，纳入全国研究生招生计划，基本学制年限内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非在职</w:t>
            </w:r>
            <w:r>
              <w:rPr>
                <w:rFonts w:hint="eastAsia"/>
                <w:sz w:val="24"/>
                <w:szCs w:val="24"/>
              </w:rPr>
              <w:t>研究生和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“少数民族高层次骨干人才计划”</w:t>
            </w: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在职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少民骨干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可参评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学业奖学金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具有中华人民共和国国籍，纳入全国研究生招生计划，基本学制年限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内全日制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非在职</w:t>
            </w: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370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2020级（含）以前年级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在职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少民骨干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可参评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（老人老办法）</w:t>
            </w:r>
          </w:p>
          <w:p>
            <w:pPr>
              <w:jc w:val="both"/>
              <w:rPr>
                <w:rFonts w:hint="default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2021级（含）起，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在职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少民骨干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不参评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优秀研究生奖学金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具有中华人民共和国国籍、纳入全国研究生招生计划、基本学制年限内德智体美劳全面发展的全日制研究生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不可兼得国家奖学金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研究生卓越贡献奖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在学校就读、具有中华人民共和国国籍、纳入全国研究生招生计划的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在就读期间及毕业后一年内，在国民经济与社会发展各领域做出的重大贡献或取得的突出业绩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研究生及研究生团队（不含攻读本校研究生的学校校聘员工）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先进集体和先进个人</w:t>
            </w:r>
          </w:p>
        </w:tc>
        <w:tc>
          <w:tcPr>
            <w:tcW w:w="723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学校相关研究生集体（团队）和</w:t>
            </w:r>
            <w:r>
              <w:rPr>
                <w:rFonts w:hint="eastAsia"/>
                <w:sz w:val="24"/>
                <w:szCs w:val="24"/>
              </w:rPr>
              <w:t>在学校就读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具有中华人民共和国国籍、纳入全国研究生招生计划、基本学制年限内德智体美劳全面发展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或在某一领域取得较为突出成绩的</w:t>
            </w:r>
            <w:r>
              <w:rPr>
                <w:rFonts w:hint="eastAsia"/>
                <w:sz w:val="24"/>
                <w:szCs w:val="24"/>
              </w:rPr>
              <w:t>的全日制研究生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2022年研究生评优评奖资格一览表</w:t>
      </w:r>
      <w:bookmarkStart w:id="0" w:name="_GoBack"/>
      <w:bookmarkEnd w:id="0"/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ZDNhOTAxMTM3OThjNDZjNTc2YjkxOWM2OTM5ZjMifQ=="/>
  </w:docVars>
  <w:rsids>
    <w:rsidRoot w:val="00000000"/>
    <w:rsid w:val="02A708A3"/>
    <w:rsid w:val="0CF30798"/>
    <w:rsid w:val="15CC3005"/>
    <w:rsid w:val="19B97FBA"/>
    <w:rsid w:val="23320487"/>
    <w:rsid w:val="248E5B46"/>
    <w:rsid w:val="25323524"/>
    <w:rsid w:val="28587DDC"/>
    <w:rsid w:val="28A24AF9"/>
    <w:rsid w:val="2EEC196C"/>
    <w:rsid w:val="2FBB6F1A"/>
    <w:rsid w:val="304725F9"/>
    <w:rsid w:val="33CC7BBC"/>
    <w:rsid w:val="389471A0"/>
    <w:rsid w:val="428C78D9"/>
    <w:rsid w:val="45636336"/>
    <w:rsid w:val="46935C55"/>
    <w:rsid w:val="489E04D3"/>
    <w:rsid w:val="48BF4FA6"/>
    <w:rsid w:val="4B0E45DF"/>
    <w:rsid w:val="4BD52A9E"/>
    <w:rsid w:val="4D0C71A0"/>
    <w:rsid w:val="4E6337AE"/>
    <w:rsid w:val="4F572512"/>
    <w:rsid w:val="51040E32"/>
    <w:rsid w:val="53E3461F"/>
    <w:rsid w:val="553018A1"/>
    <w:rsid w:val="5C0040F5"/>
    <w:rsid w:val="62A66753"/>
    <w:rsid w:val="63DC76B3"/>
    <w:rsid w:val="64314EFE"/>
    <w:rsid w:val="71CF10A9"/>
    <w:rsid w:val="73535EF2"/>
    <w:rsid w:val="73636584"/>
    <w:rsid w:val="7C1A7CA3"/>
    <w:rsid w:val="7D6A2F68"/>
    <w:rsid w:val="7DCF601D"/>
    <w:rsid w:val="7DF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624</Characters>
  <Lines>0</Lines>
  <Paragraphs>0</Paragraphs>
  <TotalTime>4</TotalTime>
  <ScaleCrop>false</ScaleCrop>
  <LinksUpToDate>false</LinksUpToDate>
  <CharactersWithSpaces>624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2021-09-13T08:09:00Z</dcterms:created>
  <dc:creator>XD</dc:creator>
  <cp:lastModifiedBy>何炬</cp:lastModifiedBy>
  <dcterms:modified xsi:type="dcterms:W3CDTF">2022-09-01T02:10:49Z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28A4E7838D094CB0B452430BA690B101</vt:lpwstr>
  </property>
</Properties>
</file>