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华文行楷"/>
          <w:b w:val="0"/>
          <w:color w:val="auto"/>
          <w:sz w:val="72"/>
          <w:szCs w:val="72"/>
        </w:rPr>
      </w:pPr>
      <w:bookmarkStart w:id="0" w:name="_Toc16785561"/>
      <w:r>
        <w:rPr>
          <w:rFonts w:ascii="Times New Roman" w:hAnsi="Times New Roman" w:eastAsia="华文行楷"/>
          <w:b w:val="0"/>
          <w:color w:val="auto"/>
          <w:sz w:val="72"/>
          <w:szCs w:val="72"/>
        </w:rPr>
        <w:t>西南大学</w:t>
      </w:r>
      <w:bookmarkEnd w:id="0"/>
    </w:p>
    <w:p>
      <w:pPr>
        <w:pStyle w:val="2"/>
        <w:jc w:val="center"/>
        <w:rPr>
          <w:rFonts w:ascii="Times New Roman" w:hAnsi="Times New Roman" w:eastAsia="方正小标宋_GBK"/>
          <w:color w:val="auto"/>
          <w:sz w:val="29"/>
        </w:rPr>
      </w:pPr>
      <w:bookmarkStart w:id="1" w:name="_Toc16785562"/>
      <w:r>
        <w:rPr>
          <w:rFonts w:ascii="Times New Roman" w:hAnsi="Times New Roman" w:eastAsia="方正小标宋_GBK"/>
          <w:color w:val="auto"/>
          <w:sz w:val="49"/>
        </w:rPr>
        <w:t>硕士研究生培养方案</w:t>
      </w:r>
      <w:bookmarkEnd w:id="1"/>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tbl>
      <w:tblPr>
        <w:tblStyle w:val="6"/>
        <w:tblW w:w="0" w:type="auto"/>
        <w:jc w:val="center"/>
        <w:tblLayout w:type="fixed"/>
        <w:tblCellMar>
          <w:top w:w="0" w:type="dxa"/>
          <w:left w:w="108" w:type="dxa"/>
          <w:bottom w:w="0" w:type="dxa"/>
          <w:right w:w="108" w:type="dxa"/>
        </w:tblCellMar>
      </w:tblPr>
      <w:tblGrid>
        <w:gridCol w:w="2410"/>
        <w:gridCol w:w="3450"/>
      </w:tblGrid>
      <w:tr>
        <w:tblPrEx>
          <w:tblCellMar>
            <w:top w:w="0" w:type="dxa"/>
            <w:left w:w="108" w:type="dxa"/>
            <w:bottom w:w="0" w:type="dxa"/>
            <w:right w:w="108" w:type="dxa"/>
          </w:tblCellMar>
        </w:tblPrEx>
        <w:trPr>
          <w:trHeight w:val="840" w:hRule="atLeast"/>
          <w:jc w:val="center"/>
        </w:trPr>
        <w:tc>
          <w:tcPr>
            <w:tcW w:w="2410" w:type="dxa"/>
            <w:vAlign w:val="bottom"/>
          </w:tcPr>
          <w:p>
            <w:pPr>
              <w:snapToGrid w:val="0"/>
              <w:ind w:left="-57" w:right="-57"/>
              <w:jc w:val="center"/>
              <w:rPr>
                <w:rFonts w:ascii="Times New Roman" w:hAnsi="Times New Roman"/>
                <w:color w:val="auto"/>
                <w:sz w:val="28"/>
                <w:szCs w:val="28"/>
              </w:rPr>
            </w:pPr>
            <w:r>
              <w:rPr>
                <w:rFonts w:ascii="Times New Roman" w:hAnsi="Times New Roman"/>
                <w:color w:val="auto"/>
                <w:sz w:val="28"/>
                <w:szCs w:val="28"/>
              </w:rPr>
              <w:t>一级学科名称</w:t>
            </w:r>
          </w:p>
        </w:tc>
        <w:tc>
          <w:tcPr>
            <w:tcW w:w="3450" w:type="dxa"/>
            <w:tcBorders>
              <w:bottom w:val="single" w:color="auto" w:sz="4" w:space="0"/>
            </w:tcBorders>
            <w:vAlign w:val="bottom"/>
          </w:tcPr>
          <w:p>
            <w:pPr>
              <w:snapToGrid w:val="0"/>
              <w:jc w:val="center"/>
              <w:rPr>
                <w:rFonts w:ascii="Times New Roman" w:hAnsi="Times New Roman"/>
                <w:color w:val="auto"/>
                <w:sz w:val="27"/>
              </w:rPr>
            </w:pPr>
            <w:r>
              <w:rPr>
                <w:rFonts w:ascii="Times New Roman" w:hAnsi="Times New Roman"/>
                <w:color w:val="auto"/>
                <w:sz w:val="27"/>
              </w:rPr>
              <w:t>社会学</w:t>
            </w:r>
          </w:p>
        </w:tc>
      </w:tr>
      <w:tr>
        <w:trPr>
          <w:trHeight w:val="840" w:hRule="atLeast"/>
          <w:jc w:val="center"/>
        </w:trPr>
        <w:tc>
          <w:tcPr>
            <w:tcW w:w="2410" w:type="dxa"/>
            <w:vAlign w:val="bottom"/>
          </w:tcPr>
          <w:p>
            <w:pPr>
              <w:snapToGrid w:val="0"/>
              <w:ind w:left="-57" w:right="-57"/>
              <w:jc w:val="right"/>
              <w:rPr>
                <w:rFonts w:ascii="Times New Roman" w:hAnsi="Times New Roman"/>
                <w:color w:val="auto"/>
                <w:sz w:val="28"/>
                <w:szCs w:val="28"/>
              </w:rPr>
            </w:pPr>
            <w:r>
              <w:rPr>
                <w:rFonts w:hint="eastAsia" w:ascii="Times New Roman" w:hAnsi="Times New Roman"/>
                <w:color w:val="auto"/>
                <w:sz w:val="28"/>
                <w:szCs w:val="28"/>
              </w:rPr>
              <w:t>二级学科</w:t>
            </w:r>
            <w:r>
              <w:rPr>
                <w:rFonts w:ascii="Times New Roman" w:hAnsi="Times New Roman"/>
                <w:color w:val="auto"/>
                <w:sz w:val="28"/>
                <w:szCs w:val="28"/>
              </w:rPr>
              <w:t>专业名称</w:t>
            </w:r>
          </w:p>
        </w:tc>
        <w:tc>
          <w:tcPr>
            <w:tcW w:w="3450" w:type="dxa"/>
            <w:tcBorders>
              <w:top w:val="single" w:color="auto" w:sz="4" w:space="0"/>
              <w:bottom w:val="single" w:color="auto" w:sz="4" w:space="0"/>
            </w:tcBorders>
            <w:vAlign w:val="bottom"/>
          </w:tcPr>
          <w:p>
            <w:pPr>
              <w:snapToGrid w:val="0"/>
              <w:jc w:val="center"/>
              <w:rPr>
                <w:rFonts w:ascii="Times New Roman" w:hAnsi="Times New Roman"/>
                <w:color w:val="auto"/>
                <w:sz w:val="27"/>
              </w:rPr>
            </w:pPr>
            <w:r>
              <w:rPr>
                <w:rFonts w:ascii="Times New Roman" w:hAnsi="Times New Roman"/>
                <w:color w:val="auto"/>
                <w:sz w:val="27"/>
              </w:rPr>
              <w:t>社会学</w:t>
            </w:r>
          </w:p>
        </w:tc>
      </w:tr>
      <w:tr>
        <w:tblPrEx>
          <w:tblCellMar>
            <w:top w:w="0" w:type="dxa"/>
            <w:left w:w="108" w:type="dxa"/>
            <w:bottom w:w="0" w:type="dxa"/>
            <w:right w:w="108" w:type="dxa"/>
          </w:tblCellMar>
        </w:tblPrEx>
        <w:trPr>
          <w:trHeight w:val="840" w:hRule="atLeast"/>
          <w:jc w:val="center"/>
        </w:trPr>
        <w:tc>
          <w:tcPr>
            <w:tcW w:w="2410" w:type="dxa"/>
            <w:vAlign w:val="bottom"/>
          </w:tcPr>
          <w:p>
            <w:pPr>
              <w:snapToGrid w:val="0"/>
              <w:ind w:left="-57" w:right="-57"/>
              <w:jc w:val="right"/>
              <w:rPr>
                <w:rFonts w:ascii="Times New Roman" w:hAnsi="Times New Roman"/>
                <w:color w:val="auto"/>
                <w:sz w:val="28"/>
                <w:szCs w:val="28"/>
              </w:rPr>
            </w:pPr>
            <w:r>
              <w:rPr>
                <w:rFonts w:hint="eastAsia" w:ascii="Times New Roman" w:hAnsi="Times New Roman"/>
                <w:color w:val="auto"/>
                <w:sz w:val="28"/>
                <w:szCs w:val="28"/>
              </w:rPr>
              <w:t>二级学科</w:t>
            </w:r>
            <w:r>
              <w:rPr>
                <w:rFonts w:ascii="Times New Roman" w:hAnsi="Times New Roman"/>
                <w:color w:val="auto"/>
                <w:sz w:val="28"/>
                <w:szCs w:val="28"/>
              </w:rPr>
              <w:t>专业代码</w:t>
            </w:r>
          </w:p>
        </w:tc>
        <w:tc>
          <w:tcPr>
            <w:tcW w:w="3450" w:type="dxa"/>
            <w:tcBorders>
              <w:top w:val="single" w:color="auto" w:sz="4" w:space="0"/>
              <w:bottom w:val="single" w:color="auto" w:sz="4" w:space="0"/>
            </w:tcBorders>
            <w:vAlign w:val="bottom"/>
          </w:tcPr>
          <w:p>
            <w:pPr>
              <w:snapToGrid w:val="0"/>
              <w:jc w:val="center"/>
              <w:rPr>
                <w:rFonts w:ascii="Times New Roman" w:hAnsi="Times New Roman"/>
                <w:color w:val="auto"/>
                <w:sz w:val="27"/>
              </w:rPr>
            </w:pPr>
            <w:r>
              <w:rPr>
                <w:rFonts w:hint="eastAsia" w:ascii="Times New Roman" w:hAnsi="Times New Roman"/>
                <w:color w:val="auto"/>
                <w:sz w:val="27"/>
              </w:rPr>
              <w:t>030301</w:t>
            </w:r>
          </w:p>
        </w:tc>
      </w:tr>
    </w:tbl>
    <w:p>
      <w:pPr>
        <w:ind w:firstLine="1736"/>
        <w:rPr>
          <w:rFonts w:ascii="Times New Roman" w:hAnsi="Times New Roman"/>
          <w:color w:val="auto"/>
          <w:sz w:val="25"/>
        </w:rPr>
      </w:pPr>
    </w:p>
    <w:p>
      <w:pPr>
        <w:rPr>
          <w:rFonts w:ascii="Times New Roman" w:hAnsi="Times New Roman"/>
          <w:color w:val="auto"/>
          <w:sz w:val="25"/>
        </w:rPr>
      </w:pPr>
    </w:p>
    <w:p>
      <w:pPr>
        <w:rPr>
          <w:rFonts w:ascii="Times New Roman" w:hAnsi="Times New Roman"/>
          <w:color w:val="auto"/>
          <w:sz w:val="25"/>
        </w:rPr>
      </w:pPr>
    </w:p>
    <w:p>
      <w:pPr>
        <w:rPr>
          <w:rFonts w:ascii="Times New Roman" w:hAnsi="Times New Roman"/>
          <w:color w:val="auto"/>
          <w:sz w:val="25"/>
        </w:rPr>
      </w:pPr>
    </w:p>
    <w:p>
      <w:pPr>
        <w:rPr>
          <w:rFonts w:ascii="Times New Roman" w:hAnsi="Times New Roman"/>
          <w:color w:val="auto"/>
          <w:sz w:val="25"/>
        </w:rPr>
      </w:pPr>
    </w:p>
    <w:p>
      <w:pPr>
        <w:rPr>
          <w:rFonts w:ascii="Times New Roman" w:hAnsi="Times New Roman"/>
          <w:color w:val="auto"/>
          <w:sz w:val="25"/>
        </w:rPr>
      </w:pPr>
    </w:p>
    <w:p>
      <w:pPr>
        <w:rPr>
          <w:rFonts w:ascii="Times New Roman" w:hAnsi="Times New Roman"/>
          <w:color w:val="auto"/>
          <w:sz w:val="25"/>
        </w:rPr>
      </w:pPr>
    </w:p>
    <w:p>
      <w:pPr>
        <w:spacing w:line="360" w:lineRule="auto"/>
        <w:jc w:val="center"/>
        <w:rPr>
          <w:rFonts w:ascii="Times New Roman" w:hAnsi="Times New Roman"/>
          <w:color w:val="auto"/>
          <w:sz w:val="24"/>
        </w:rPr>
      </w:pPr>
      <w:r>
        <w:rPr>
          <w:rFonts w:ascii="Times New Roman" w:hAnsi="Times New Roman"/>
          <w:color w:val="auto"/>
          <w:sz w:val="24"/>
        </w:rPr>
        <w:t>西南大学研究生院制表</w:t>
      </w:r>
    </w:p>
    <w:p>
      <w:pPr>
        <w:spacing w:line="360" w:lineRule="auto"/>
        <w:ind w:firstLine="2534"/>
        <w:rPr>
          <w:rFonts w:ascii="Times New Roman" w:hAnsi="Times New Roman"/>
          <w:color w:val="auto"/>
          <w:sz w:val="24"/>
        </w:rPr>
      </w:pPr>
      <w:r>
        <w:rPr>
          <w:rFonts w:ascii="Times New Roman" w:hAnsi="Times New Roman"/>
          <w:color w:val="auto"/>
          <w:sz w:val="24"/>
        </w:rPr>
        <w:t>填表日期：</w:t>
      </w:r>
      <w:r>
        <w:rPr>
          <w:rFonts w:hint="eastAsia" w:ascii="Times New Roman" w:hAnsi="Times New Roman"/>
          <w:color w:val="auto"/>
          <w:sz w:val="24"/>
        </w:rPr>
        <w:t>2022</w:t>
      </w:r>
      <w:r>
        <w:rPr>
          <w:rFonts w:ascii="Times New Roman" w:hAnsi="Times New Roman"/>
          <w:color w:val="auto"/>
          <w:sz w:val="24"/>
        </w:rPr>
        <w:t>年</w:t>
      </w:r>
      <w:r>
        <w:rPr>
          <w:rFonts w:hint="eastAsia" w:ascii="Times New Roman" w:hAnsi="Times New Roman"/>
          <w:color w:val="auto"/>
          <w:sz w:val="24"/>
        </w:rPr>
        <w:t>5</w:t>
      </w:r>
      <w:r>
        <w:rPr>
          <w:rFonts w:ascii="Times New Roman" w:hAnsi="Times New Roman"/>
          <w:color w:val="auto"/>
          <w:sz w:val="24"/>
        </w:rPr>
        <w:t>月</w:t>
      </w:r>
      <w:r>
        <w:rPr>
          <w:rFonts w:hint="eastAsia" w:ascii="Times New Roman" w:hAnsi="Times New Roman"/>
          <w:color w:val="auto"/>
          <w:sz w:val="24"/>
        </w:rPr>
        <w:t>20</w:t>
      </w:r>
      <w:r>
        <w:rPr>
          <w:rFonts w:ascii="Times New Roman" w:hAnsi="Times New Roman"/>
          <w:color w:val="auto"/>
          <w:sz w:val="24"/>
        </w:rPr>
        <w:t>日</w:t>
      </w:r>
    </w:p>
    <w:p>
      <w:pPr>
        <w:spacing w:before="120" w:after="120"/>
        <w:ind w:firstLine="249"/>
        <w:rPr>
          <w:rFonts w:ascii="Times New Roman" w:hAnsi="Times New Roman" w:eastAsia="黑体"/>
          <w:color w:val="auto"/>
          <w:sz w:val="23"/>
        </w:rPr>
        <w:sectPr>
          <w:pgSz w:w="11906" w:h="16838"/>
          <w:pgMar w:top="1440" w:right="1800" w:bottom="1440" w:left="1800" w:header="851" w:footer="992" w:gutter="0"/>
          <w:cols w:space="720" w:num="1"/>
          <w:docGrid w:type="linesAndChars" w:linePitch="312" w:charSpace="0"/>
        </w:sectPr>
      </w:pPr>
    </w:p>
    <w:p>
      <w:pPr>
        <w:snapToGrid w:val="0"/>
        <w:spacing w:before="156" w:beforeLines="50" w:after="156" w:afterLines="50" w:line="400" w:lineRule="exact"/>
        <w:ind w:firstLine="600" w:firstLineChars="200"/>
        <w:jc w:val="left"/>
        <w:rPr>
          <w:rFonts w:ascii="Times New Roman" w:hAnsi="Times New Roman" w:eastAsia="方正黑体_GBK"/>
          <w:color w:val="auto"/>
          <w:sz w:val="30"/>
          <w:szCs w:val="30"/>
        </w:rPr>
      </w:pPr>
      <w:r>
        <w:rPr>
          <w:rFonts w:ascii="Times New Roman" w:hAnsi="Times New Roman" w:eastAsia="方正黑体_GBK"/>
          <w:color w:val="auto"/>
          <w:sz w:val="30"/>
          <w:szCs w:val="30"/>
        </w:rPr>
        <w:t>一、学科简介</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西南大学社会学办学历史悠久，学科基础雄厚，在晏阳初、梁漱溟、卢作孚、陈东原、刘尊一等老一辈社会学家的奠基下，已形成“关注乡村、关注民生、通过教育实现社会改良”的学术理念和教育教学传统。目前，社会学为一级学科硕士学位授权点、重庆市重点学科。</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本学科点聚焦应用社会学、社会管理与社会政策、社会工作等特色研究方向，取得了丰硕的研究成果。与德国、美国、加拿大、日本等国的相关学术界以及国内的中国社会科学院、清华大学、中国人民大学、上海大学等数十所科研院所、高等院校建立了实质性的交流合作关系。本学科专业教师先后承担、主研国家级、省部级科研课题以及各种横向课题100余项，获省部级奖30余项，出版专著及教材100余部，发表学术论文700余篇，部分研究成果已经产生显著的学术影响和较大的社会经济效益。</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本学科点拥有独立的、设备齐全的实验室和资料室，以人才培养为中心、学科建设为龙头、队伍建设为保障、学术创新为支撑，朝着建设特色鲜明的西南领先、全国知名的一流水平专业目标迈进。</w:t>
      </w:r>
    </w:p>
    <w:p>
      <w:pPr>
        <w:snapToGrid w:val="0"/>
        <w:spacing w:before="156" w:beforeLines="50" w:after="156" w:afterLines="50" w:line="400" w:lineRule="exact"/>
        <w:ind w:firstLine="600" w:firstLineChars="200"/>
        <w:jc w:val="left"/>
        <w:rPr>
          <w:rFonts w:ascii="Times New Roman" w:hAnsi="Times New Roman" w:eastAsia="方正黑体_GBK"/>
          <w:color w:val="auto"/>
          <w:sz w:val="30"/>
          <w:szCs w:val="30"/>
        </w:rPr>
      </w:pPr>
      <w:r>
        <w:rPr>
          <w:rFonts w:ascii="Times New Roman" w:hAnsi="Times New Roman" w:eastAsia="方正黑体_GBK"/>
          <w:color w:val="auto"/>
          <w:sz w:val="30"/>
          <w:szCs w:val="30"/>
        </w:rPr>
        <w:t>二、适用范围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6"/>
        <w:gridCol w:w="4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56" w:type="dxa"/>
            <w:vAlign w:val="center"/>
          </w:tcPr>
          <w:p>
            <w:pPr>
              <w:spacing w:line="500" w:lineRule="exact"/>
              <w:jc w:val="center"/>
              <w:rPr>
                <w:rFonts w:ascii="Times New Roman" w:hAnsi="Times New Roman"/>
                <w:color w:val="auto"/>
                <w:szCs w:val="21"/>
              </w:rPr>
            </w:pPr>
            <w:r>
              <w:rPr>
                <w:rFonts w:hint="eastAsia" w:ascii="方正仿宋_GBK" w:hAnsi="Times New Roman" w:eastAsia="方正仿宋_GBK"/>
                <w:color w:val="auto"/>
                <w:sz w:val="28"/>
                <w:szCs w:val="32"/>
              </w:rPr>
              <w:t>一级或二级学科</w:t>
            </w:r>
          </w:p>
        </w:tc>
        <w:tc>
          <w:tcPr>
            <w:tcW w:w="4588" w:type="dxa"/>
            <w:vAlign w:val="center"/>
          </w:tcPr>
          <w:p>
            <w:pPr>
              <w:spacing w:line="500" w:lineRule="exact"/>
              <w:jc w:val="center"/>
              <w:rPr>
                <w:rFonts w:ascii="Times New Roman" w:hAnsi="Times New Roman"/>
                <w:color w:val="auto"/>
                <w:szCs w:val="21"/>
              </w:rPr>
            </w:pPr>
            <w:r>
              <w:rPr>
                <w:rFonts w:hint="eastAsia" w:ascii="方正仿宋_GBK" w:hAnsi="Times New Roman" w:eastAsia="方正仿宋_GBK"/>
                <w:color w:val="auto"/>
                <w:sz w:val="28"/>
                <w:szCs w:val="32"/>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656" w:type="dxa"/>
            <w:vAlign w:val="center"/>
          </w:tcPr>
          <w:p>
            <w:pPr>
              <w:spacing w:line="500" w:lineRule="exact"/>
              <w:jc w:val="center"/>
              <w:rPr>
                <w:rFonts w:ascii="Times New Roman" w:hAnsi="Times New Roman"/>
                <w:color w:val="auto"/>
                <w:szCs w:val="21"/>
              </w:rPr>
            </w:pPr>
            <w:r>
              <w:rPr>
                <w:rFonts w:hint="eastAsia" w:ascii="方正仿宋_GBK" w:hAnsi="Times New Roman" w:eastAsia="方正仿宋_GBK"/>
                <w:color w:val="auto"/>
                <w:sz w:val="28"/>
                <w:szCs w:val="32"/>
              </w:rPr>
              <w:t>社会学</w:t>
            </w:r>
          </w:p>
        </w:tc>
        <w:tc>
          <w:tcPr>
            <w:tcW w:w="4588" w:type="dxa"/>
            <w:vAlign w:val="center"/>
          </w:tcPr>
          <w:p>
            <w:pPr>
              <w:spacing w:line="360" w:lineRule="auto"/>
              <w:rPr>
                <w:rFonts w:ascii="方正仿宋_GBK" w:hAnsi="Times New Roman" w:eastAsia="方正仿宋_GBK"/>
                <w:color w:val="auto"/>
                <w:sz w:val="28"/>
                <w:szCs w:val="32"/>
              </w:rPr>
            </w:pPr>
            <w:r>
              <w:rPr>
                <w:rFonts w:ascii="方正仿宋_GBK" w:hAnsi="Times New Roman" w:eastAsia="方正仿宋_GBK"/>
                <w:color w:val="auto"/>
                <w:sz w:val="28"/>
                <w:szCs w:val="32"/>
              </w:rPr>
              <w:t>1.</w:t>
            </w:r>
            <w:r>
              <w:rPr>
                <w:rFonts w:hint="eastAsia" w:ascii="方正仿宋_GBK" w:hAnsi="Times New Roman" w:eastAsia="方正仿宋_GBK"/>
                <w:color w:val="auto"/>
                <w:sz w:val="28"/>
                <w:szCs w:val="32"/>
              </w:rPr>
              <w:t>应用社会学</w:t>
            </w:r>
          </w:p>
          <w:p>
            <w:pPr>
              <w:spacing w:line="360" w:lineRule="auto"/>
              <w:rPr>
                <w:rFonts w:ascii="方正仿宋_GBK" w:hAnsi="Times New Roman" w:eastAsia="方正仿宋_GBK"/>
                <w:color w:val="auto"/>
                <w:sz w:val="28"/>
                <w:szCs w:val="32"/>
              </w:rPr>
            </w:pPr>
            <w:r>
              <w:rPr>
                <w:rFonts w:ascii="方正仿宋_GBK" w:hAnsi="Times New Roman" w:eastAsia="方正仿宋_GBK"/>
                <w:color w:val="auto"/>
                <w:sz w:val="28"/>
                <w:szCs w:val="32"/>
              </w:rPr>
              <w:t>2.</w:t>
            </w:r>
            <w:r>
              <w:rPr>
                <w:rFonts w:hint="eastAsia" w:ascii="方正仿宋_GBK" w:hAnsi="Times New Roman" w:eastAsia="方正仿宋_GBK"/>
                <w:color w:val="auto"/>
                <w:sz w:val="28"/>
                <w:szCs w:val="32"/>
              </w:rPr>
              <w:t>社会管理与社会政策</w:t>
            </w:r>
          </w:p>
          <w:p>
            <w:pPr>
              <w:spacing w:line="500" w:lineRule="exact"/>
              <w:rPr>
                <w:rFonts w:ascii="Times New Roman" w:hAnsi="Times New Roman"/>
                <w:color w:val="auto"/>
                <w:szCs w:val="21"/>
              </w:rPr>
            </w:pPr>
            <w:r>
              <w:rPr>
                <w:rFonts w:ascii="方正仿宋_GBK" w:hAnsi="Times New Roman" w:eastAsia="方正仿宋_GBK"/>
                <w:color w:val="auto"/>
                <w:sz w:val="28"/>
                <w:szCs w:val="32"/>
              </w:rPr>
              <w:t>3.</w:t>
            </w:r>
            <w:r>
              <w:rPr>
                <w:rFonts w:hint="eastAsia" w:ascii="方正仿宋_GBK" w:hAnsi="Times New Roman" w:eastAsia="方正仿宋_GBK"/>
                <w:color w:val="auto"/>
                <w:sz w:val="28"/>
                <w:szCs w:val="32"/>
              </w:rPr>
              <w:t>社会工作</w:t>
            </w:r>
          </w:p>
        </w:tc>
      </w:tr>
    </w:tbl>
    <w:p>
      <w:pPr>
        <w:snapToGrid w:val="0"/>
        <w:spacing w:before="156" w:beforeLines="50" w:after="156" w:afterLines="50" w:line="400" w:lineRule="exact"/>
        <w:ind w:firstLine="600" w:firstLineChars="200"/>
        <w:jc w:val="left"/>
        <w:rPr>
          <w:rFonts w:ascii="Times New Roman" w:hAnsi="Times New Roman" w:eastAsia="方正黑体_GBK"/>
          <w:color w:val="auto"/>
          <w:sz w:val="30"/>
          <w:szCs w:val="30"/>
        </w:rPr>
      </w:pPr>
      <w:r>
        <w:rPr>
          <w:rFonts w:ascii="Times New Roman" w:hAnsi="Times New Roman" w:eastAsia="方正黑体_GBK"/>
          <w:color w:val="auto"/>
          <w:sz w:val="30"/>
          <w:szCs w:val="30"/>
        </w:rPr>
        <w:t>三、培养目标</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（一）总体要求</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致力于培养德才兼备、掌握扎实的社会学基本理论与方法、具备熟练应用社会学理论与方法、综合分析和解决社会问题的能力、适应我国现代化建设需要的复合型高级专门人才。</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（二）具体要求</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1．培养学生的德、智、体全面发展，人格健全，具有优良的公民道德与职业精神。</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2．培养具有较高的社会学理论与方法应用能力、系统掌握社会学专业知识和专业技能、能够熟练运用一门外语阅读专业文献、具有一定实操能力、能够在学术上进一步深造或胜任相关教学科研工作以及政策研究的高级专门人才。</w:t>
      </w:r>
    </w:p>
    <w:p>
      <w:pPr>
        <w:snapToGrid w:val="0"/>
        <w:spacing w:before="156" w:beforeLines="50" w:after="156" w:afterLines="50" w:line="400" w:lineRule="exact"/>
        <w:ind w:firstLine="600" w:firstLineChars="200"/>
        <w:jc w:val="left"/>
        <w:rPr>
          <w:rFonts w:ascii="Times New Roman" w:hAnsi="Times New Roman" w:eastAsia="方正黑体_GBK"/>
          <w:color w:val="auto"/>
          <w:sz w:val="30"/>
          <w:szCs w:val="30"/>
        </w:rPr>
      </w:pPr>
      <w:r>
        <w:rPr>
          <w:rFonts w:ascii="Times New Roman" w:hAnsi="Times New Roman" w:eastAsia="方正黑体_GBK"/>
          <w:color w:val="auto"/>
          <w:sz w:val="30"/>
          <w:szCs w:val="30"/>
        </w:rPr>
        <w:t>四、学习</w:t>
      </w:r>
      <w:r>
        <w:rPr>
          <w:rFonts w:hint="eastAsia" w:ascii="Times New Roman" w:hAnsi="Times New Roman" w:eastAsia="方正黑体_GBK"/>
          <w:color w:val="auto"/>
          <w:sz w:val="30"/>
          <w:szCs w:val="30"/>
        </w:rPr>
        <w:t>年</w:t>
      </w:r>
      <w:r>
        <w:rPr>
          <w:rFonts w:ascii="Times New Roman" w:hAnsi="Times New Roman" w:eastAsia="方正黑体_GBK"/>
          <w:color w:val="auto"/>
          <w:sz w:val="30"/>
          <w:szCs w:val="30"/>
        </w:rPr>
        <w:t>限</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实行弹性学制，全日制学术型硕士研究生基本学制为3年，学习年限为2-5年。</w:t>
      </w:r>
    </w:p>
    <w:p>
      <w:pPr>
        <w:snapToGrid w:val="0"/>
        <w:spacing w:before="156" w:beforeLines="50" w:after="156" w:afterLines="50" w:line="400" w:lineRule="exact"/>
        <w:ind w:firstLine="600" w:firstLineChars="200"/>
        <w:jc w:val="left"/>
        <w:rPr>
          <w:rFonts w:ascii="Times New Roman" w:hAnsi="Times New Roman" w:eastAsia="方正黑体_GBK"/>
          <w:color w:val="auto"/>
          <w:sz w:val="30"/>
          <w:szCs w:val="30"/>
        </w:rPr>
      </w:pPr>
      <w:r>
        <w:rPr>
          <w:rFonts w:ascii="Times New Roman" w:hAnsi="Times New Roman" w:eastAsia="方正黑体_GBK"/>
          <w:color w:val="auto"/>
          <w:sz w:val="30"/>
          <w:szCs w:val="30"/>
        </w:rPr>
        <w:t>五、培养方式</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本专业培养方式强调导师负责与导师组培养相结合的方式，强调统一原则与因材施教相结合，以达成不同类型、不同层次研究生的培养目标。</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（一）本专业硕士生以课程学习为主，科学研究为辅。通过三年的学习，围绕本专业建立系统的基本知识体系，力求在某些研究领域上有一定造诣。</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二）专业学位课程注重学生的自我研读，推行学生讨论式课堂、教师启发式课堂。创新开展过程启发式、研究性学习指导法、治学型学习指导法等教学方式，提高研究生专业素质和综合能力，培养研究生准确理解和概括专业文献的能力，加强研究生的创新能力、分析问题能力、解决问题能力、语言表达能力和写作能力。</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三）在培养过程中，使学生形成初步的专业知识，逐渐进入到对专业问题的深层次思考，通过“导师研究性指导+学生经典性阅读”，有的放矢，夯实学科理论与知识体系，使学生由浅而深逐渐进入对专业问题的研究，写出较高水平的专业课程论文和毕业论文。</w:t>
      </w:r>
    </w:p>
    <w:p>
      <w:pPr>
        <w:snapToGrid w:val="0"/>
        <w:spacing w:before="156" w:beforeLines="50" w:line="400" w:lineRule="exact"/>
        <w:ind w:firstLine="600" w:firstLineChars="200"/>
        <w:jc w:val="left"/>
        <w:rPr>
          <w:rFonts w:ascii="Times New Roman" w:hAnsi="Times New Roman" w:eastAsia="方正黑体_GBK"/>
          <w:color w:val="auto"/>
          <w:sz w:val="30"/>
          <w:szCs w:val="30"/>
        </w:rPr>
      </w:pPr>
      <w:r>
        <w:rPr>
          <w:rFonts w:hint="eastAsia" w:ascii="Times New Roman" w:hAnsi="Times New Roman" w:eastAsia="方正仿宋_GBK"/>
          <w:color w:val="auto"/>
          <w:sz w:val="30"/>
          <w:szCs w:val="30"/>
        </w:rPr>
        <w:t>（四）研究生的实践活动要在导师的具体指导下进行，结束后写总结报告，并由导师或导师组据实考核。</w:t>
      </w:r>
      <w:r>
        <w:rPr>
          <w:rFonts w:ascii="Times New Roman" w:hAnsi="Times New Roman" w:eastAsia="方正黑体_GBK"/>
          <w:color w:val="auto"/>
          <w:sz w:val="28"/>
          <w:szCs w:val="28"/>
        </w:rPr>
        <w:br w:type="page"/>
      </w:r>
      <w:r>
        <w:rPr>
          <w:rFonts w:ascii="Times New Roman" w:hAnsi="Times New Roman" w:eastAsia="方正黑体_GBK"/>
          <w:color w:val="auto"/>
          <w:sz w:val="30"/>
          <w:szCs w:val="30"/>
        </w:rPr>
        <w:t>六、必修环节</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（一）课程学习</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6"/>
        <w:gridCol w:w="386"/>
        <w:gridCol w:w="1584"/>
        <w:gridCol w:w="2430"/>
        <w:gridCol w:w="709"/>
        <w:gridCol w:w="709"/>
        <w:gridCol w:w="708"/>
        <w:gridCol w:w="851"/>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81" w:hRule="atLeast"/>
        </w:trPr>
        <w:tc>
          <w:tcPr>
            <w:tcW w:w="77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Cs w:val="21"/>
              </w:rPr>
            </w:pPr>
            <w:r>
              <w:rPr>
                <w:rFonts w:ascii="Times New Roman" w:hAnsi="Times New Roman"/>
                <w:color w:val="auto"/>
                <w:szCs w:val="21"/>
              </w:rPr>
              <w:t>类型</w:t>
            </w:r>
          </w:p>
        </w:tc>
        <w:tc>
          <w:tcPr>
            <w:tcW w:w="1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Cs w:val="21"/>
              </w:rPr>
            </w:pPr>
            <w:r>
              <w:rPr>
                <w:rFonts w:ascii="Times New Roman" w:hAnsi="Times New Roman"/>
                <w:color w:val="auto"/>
                <w:szCs w:val="21"/>
              </w:rPr>
              <w:t>课程编号</w:t>
            </w:r>
          </w:p>
        </w:tc>
        <w:tc>
          <w:tcPr>
            <w:tcW w:w="24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Cs w:val="21"/>
              </w:rPr>
            </w:pPr>
            <w:r>
              <w:rPr>
                <w:rFonts w:ascii="Times New Roman" w:hAnsi="Times New Roman"/>
                <w:color w:val="auto"/>
                <w:szCs w:val="21"/>
              </w:rPr>
              <w:t>课程名称（含中英文）</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Cs w:val="21"/>
              </w:rPr>
            </w:pPr>
            <w:r>
              <w:rPr>
                <w:rFonts w:ascii="Times New Roman" w:hAnsi="Times New Roman"/>
                <w:color w:val="auto"/>
                <w:szCs w:val="21"/>
              </w:rPr>
              <w:t>开课学期</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Cs w:val="21"/>
              </w:rPr>
            </w:pPr>
            <w:r>
              <w:rPr>
                <w:rFonts w:ascii="Times New Roman" w:hAnsi="Times New Roman"/>
                <w:color w:val="auto"/>
                <w:szCs w:val="21"/>
              </w:rPr>
              <w:t>学时</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Cs w:val="21"/>
              </w:rPr>
            </w:pPr>
            <w:r>
              <w:rPr>
                <w:rFonts w:ascii="Times New Roman" w:hAnsi="Times New Roman"/>
                <w:color w:val="auto"/>
                <w:szCs w:val="21"/>
              </w:rPr>
              <w:t>学分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Cs w:val="21"/>
              </w:rPr>
            </w:pPr>
            <w:r>
              <w:rPr>
                <w:rFonts w:ascii="Times New Roman" w:hAnsi="Times New Roman"/>
                <w:color w:val="auto"/>
                <w:szCs w:val="21"/>
              </w:rPr>
              <w:t>考核</w:t>
            </w:r>
          </w:p>
          <w:p>
            <w:pPr>
              <w:spacing w:line="240" w:lineRule="exact"/>
              <w:jc w:val="center"/>
              <w:rPr>
                <w:rFonts w:ascii="Times New Roman" w:hAnsi="Times New Roman"/>
                <w:color w:val="auto"/>
                <w:szCs w:val="21"/>
              </w:rPr>
            </w:pPr>
            <w:r>
              <w:rPr>
                <w:rFonts w:ascii="Times New Roman" w:hAnsi="Times New Roman"/>
                <w:color w:val="auto"/>
                <w:szCs w:val="21"/>
              </w:rPr>
              <w:t>方式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Cs w:val="21"/>
              </w:rPr>
            </w:pPr>
            <w:r>
              <w:rPr>
                <w:rFonts w:ascii="Times New Roman" w:hAnsi="Times New Roman"/>
                <w:color w:val="auto"/>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386"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黑体"/>
                <w:color w:val="auto"/>
                <w:szCs w:val="21"/>
              </w:rPr>
            </w:pPr>
            <w:r>
              <w:rPr>
                <w:rFonts w:ascii="Times New Roman" w:hAnsi="Times New Roman" w:eastAsia="黑体"/>
                <w:color w:val="auto"/>
                <w:szCs w:val="21"/>
              </w:rPr>
              <w:t>必修课</w:t>
            </w:r>
          </w:p>
        </w:tc>
        <w:tc>
          <w:tcPr>
            <w:tcW w:w="386"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黑体"/>
                <w:color w:val="auto"/>
                <w:szCs w:val="21"/>
              </w:rPr>
            </w:pPr>
            <w:r>
              <w:rPr>
                <w:rFonts w:ascii="Times New Roman" w:hAnsi="Times New Roman" w:eastAsia="黑体"/>
                <w:color w:val="auto"/>
                <w:szCs w:val="21"/>
              </w:rPr>
              <w:t>公共课</w:t>
            </w: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left"/>
              <w:rPr>
                <w:rFonts w:ascii="Times New Roman" w:hAnsi="Times New Roman"/>
                <w:color w:val="auto"/>
                <w:sz w:val="18"/>
                <w:szCs w:val="18"/>
              </w:rPr>
            </w:pPr>
            <w:r>
              <w:rPr>
                <w:rFonts w:ascii="Times New Roman" w:hAnsi="Times New Roman"/>
                <w:color w:val="auto"/>
                <w:szCs w:val="21"/>
                <w:lang w:val="zh-CN"/>
              </w:rPr>
              <w:t>11</w:t>
            </w:r>
            <w:r>
              <w:rPr>
                <w:rFonts w:hint="eastAsia" w:ascii="Times New Roman" w:hAnsi="Times New Roman"/>
                <w:color w:val="auto"/>
                <w:szCs w:val="21"/>
                <w:lang w:val="zh-CN"/>
              </w:rPr>
              <w:t>11</w:t>
            </w:r>
            <w:r>
              <w:rPr>
                <w:rFonts w:ascii="Times New Roman" w:hAnsi="Times New Roman"/>
                <w:color w:val="auto"/>
                <w:szCs w:val="21"/>
                <w:lang w:val="zh-CN"/>
              </w:rPr>
              <w:t>000001001</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r>
              <w:rPr>
                <w:rFonts w:ascii="Times New Roman" w:hAnsi="Times New Roman"/>
                <w:color w:val="auto"/>
                <w:szCs w:val="21"/>
              </w:rPr>
              <w:t xml:space="preserve">第一外国语 </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color w:val="auto"/>
                <w:szCs w:val="21"/>
              </w:rPr>
            </w:pPr>
            <w:r>
              <w:rPr>
                <w:rFonts w:ascii="Times New Roman" w:hAnsi="Times New Roman"/>
                <w:color w:val="auto"/>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color w:val="auto"/>
                <w:szCs w:val="21"/>
              </w:rPr>
            </w:pPr>
            <w:r>
              <w:rPr>
                <w:rFonts w:ascii="Times New Roman" w:hAnsi="Times New Roman"/>
                <w:color w:val="auto"/>
                <w:szCs w:val="21"/>
              </w:rPr>
              <w:t>90</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color w:val="auto"/>
                <w:szCs w:val="21"/>
              </w:rPr>
            </w:pPr>
            <w:r>
              <w:rPr>
                <w:rFonts w:ascii="Times New Roman" w:hAnsi="Times New Roman"/>
                <w:color w:val="auto"/>
                <w:szCs w:val="21"/>
              </w:rPr>
              <w:t>3</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color w:val="auto"/>
                <w:szCs w:val="21"/>
              </w:rPr>
            </w:pPr>
            <w:r>
              <w:rPr>
                <w:rFonts w:ascii="Times New Roman" w:hAnsi="Times New Roman"/>
                <w:color w:val="auto"/>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r>
              <w:rPr>
                <w:rFonts w:ascii="Times New Roman" w:hAnsi="Times New Roman"/>
                <w:color w:val="auto"/>
                <w:szCs w:val="21"/>
              </w:rPr>
              <w:t>外语专业为第二外国语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386" w:type="dxa"/>
            <w:vMerge w:val="continue"/>
            <w:tcBorders>
              <w:left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p>
        </w:tc>
        <w:tc>
          <w:tcPr>
            <w:tcW w:w="386" w:type="dxa"/>
            <w:vMerge w:val="continue"/>
            <w:tcBorders>
              <w:left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left"/>
              <w:rPr>
                <w:rFonts w:ascii="Times New Roman" w:hAnsi="Times New Roman"/>
                <w:color w:val="auto"/>
                <w:sz w:val="18"/>
                <w:szCs w:val="18"/>
              </w:rPr>
            </w:pPr>
            <w:r>
              <w:rPr>
                <w:rFonts w:ascii="Times New Roman" w:hAnsi="Times New Roman"/>
                <w:color w:val="auto"/>
                <w:szCs w:val="21"/>
                <w:lang w:val="zh-CN"/>
              </w:rPr>
              <w:t>11</w:t>
            </w:r>
            <w:r>
              <w:rPr>
                <w:rFonts w:hint="eastAsia" w:ascii="Times New Roman" w:hAnsi="Times New Roman"/>
                <w:color w:val="auto"/>
                <w:szCs w:val="21"/>
                <w:lang w:val="zh-CN"/>
              </w:rPr>
              <w:t>11</w:t>
            </w:r>
            <w:r>
              <w:rPr>
                <w:rFonts w:ascii="Times New Roman" w:hAnsi="Times New Roman"/>
                <w:color w:val="auto"/>
                <w:szCs w:val="21"/>
                <w:lang w:val="zh-CN"/>
              </w:rPr>
              <w:t>000002002</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r>
              <w:rPr>
                <w:rFonts w:ascii="Times New Roman" w:hAnsi="Times New Roman"/>
                <w:color w:val="auto"/>
                <w:szCs w:val="21"/>
              </w:rPr>
              <w:t>中国特色社会主义理论与实践研究</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color w:val="auto"/>
                <w:szCs w:val="21"/>
              </w:rPr>
            </w:pPr>
            <w:r>
              <w:rPr>
                <w:rFonts w:ascii="Times New Roman" w:hAnsi="Times New Roman"/>
                <w:color w:val="auto"/>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color w:val="auto"/>
                <w:szCs w:val="21"/>
              </w:rPr>
            </w:pPr>
            <w:r>
              <w:rPr>
                <w:rFonts w:ascii="Times New Roman" w:hAnsi="Times New Roman"/>
                <w:color w:val="auto"/>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color w:val="auto"/>
                <w:szCs w:val="21"/>
              </w:rPr>
            </w:pPr>
            <w:r>
              <w:rPr>
                <w:rFonts w:ascii="Times New Roman" w:hAnsi="Times New Roman"/>
                <w:color w:val="auto"/>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color w:val="auto"/>
                <w:szCs w:val="21"/>
              </w:rPr>
            </w:pPr>
            <w:r>
              <w:rPr>
                <w:rFonts w:ascii="Times New Roman" w:hAnsi="Times New Roman"/>
                <w:color w:val="auto"/>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5" w:hRule="atLeast"/>
        </w:trPr>
        <w:tc>
          <w:tcPr>
            <w:tcW w:w="386" w:type="dxa"/>
            <w:vMerge w:val="continue"/>
            <w:tcBorders>
              <w:left w:val="single" w:color="auto" w:sz="4" w:space="0"/>
              <w:right w:val="single" w:color="auto" w:sz="4" w:space="0"/>
            </w:tcBorders>
            <w:vAlign w:val="center"/>
          </w:tcPr>
          <w:p>
            <w:pPr>
              <w:spacing w:before="100" w:beforeAutospacing="1" w:line="280" w:lineRule="exact"/>
              <w:rPr>
                <w:rFonts w:ascii="Times New Roman" w:hAnsi="Times New Roman"/>
                <w:color w:val="auto"/>
                <w:szCs w:val="21"/>
              </w:rPr>
            </w:pPr>
          </w:p>
        </w:tc>
        <w:tc>
          <w:tcPr>
            <w:tcW w:w="386" w:type="dxa"/>
            <w:tcBorders>
              <w:left w:val="single" w:color="auto" w:sz="4" w:space="0"/>
              <w:right w:val="single" w:color="auto" w:sz="4" w:space="0"/>
            </w:tcBorders>
            <w:vAlign w:val="center"/>
          </w:tcPr>
          <w:p>
            <w:pPr>
              <w:spacing w:before="100" w:beforeAutospacing="1" w:line="28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color w:val="auto"/>
                <w:szCs w:val="21"/>
                <w:lang w:val="zh-CN"/>
              </w:rPr>
            </w:pPr>
            <w:r>
              <w:rPr>
                <w:rFonts w:ascii="Times New Roman" w:hAnsi="Times New Roman"/>
                <w:color w:val="auto"/>
                <w:szCs w:val="21"/>
                <w:lang w:val="zh-CN"/>
              </w:rPr>
              <w:t>11</w:t>
            </w:r>
            <w:r>
              <w:rPr>
                <w:rFonts w:hint="eastAsia" w:ascii="Times New Roman" w:hAnsi="Times New Roman"/>
                <w:color w:val="auto"/>
                <w:szCs w:val="21"/>
                <w:lang w:val="zh-CN"/>
              </w:rPr>
              <w:t>11</w:t>
            </w:r>
            <w:r>
              <w:rPr>
                <w:rFonts w:ascii="Times New Roman" w:hAnsi="Times New Roman"/>
                <w:color w:val="auto"/>
                <w:szCs w:val="21"/>
                <w:lang w:val="zh-CN"/>
              </w:rPr>
              <w:t>000002003</w:t>
            </w:r>
            <w:r>
              <w:rPr>
                <w:rFonts w:hint="eastAsia" w:ascii="Times New Roman" w:hAnsi="Times New Roman"/>
                <w:color w:val="auto"/>
                <w:szCs w:val="21"/>
                <w:lang w:val="zh-CN"/>
              </w:rPr>
              <w:t>/</w:t>
            </w:r>
          </w:p>
          <w:p>
            <w:pPr>
              <w:snapToGrid w:val="0"/>
              <w:jc w:val="left"/>
              <w:rPr>
                <w:rFonts w:ascii="Times New Roman" w:hAnsi="Times New Roman"/>
                <w:color w:val="auto"/>
                <w:sz w:val="18"/>
                <w:szCs w:val="18"/>
              </w:rPr>
            </w:pPr>
            <w:r>
              <w:rPr>
                <w:rFonts w:ascii="Times New Roman" w:hAnsi="Times New Roman"/>
                <w:color w:val="auto"/>
                <w:szCs w:val="21"/>
                <w:lang w:val="zh-CN"/>
              </w:rPr>
              <w:t>11</w:t>
            </w:r>
            <w:r>
              <w:rPr>
                <w:rFonts w:hint="eastAsia" w:ascii="Times New Roman" w:hAnsi="Times New Roman"/>
                <w:color w:val="auto"/>
                <w:szCs w:val="21"/>
                <w:lang w:val="zh-CN"/>
              </w:rPr>
              <w:t>11</w:t>
            </w:r>
            <w:r>
              <w:rPr>
                <w:rFonts w:ascii="Times New Roman" w:hAnsi="Times New Roman"/>
                <w:color w:val="auto"/>
                <w:szCs w:val="21"/>
                <w:lang w:val="zh-CN"/>
              </w:rPr>
              <w:t>000002004</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left"/>
              <w:rPr>
                <w:rFonts w:ascii="Times New Roman" w:hAnsi="Times New Roman"/>
                <w:color w:val="auto"/>
                <w:szCs w:val="21"/>
                <w:highlight w:val="yellow"/>
              </w:rPr>
            </w:pPr>
            <w:r>
              <w:rPr>
                <w:rFonts w:ascii="Times New Roman" w:hAnsi="Times New Roman"/>
                <w:color w:val="auto"/>
                <w:szCs w:val="21"/>
              </w:rPr>
              <w:t>自然辩证法概论</w:t>
            </w:r>
            <w:r>
              <w:rPr>
                <w:rFonts w:ascii="Times New Roman" w:hAnsi="Times New Roman"/>
                <w:b/>
                <w:color w:val="auto"/>
                <w:szCs w:val="21"/>
              </w:rPr>
              <w:t>/</w:t>
            </w:r>
            <w:r>
              <w:rPr>
                <w:rFonts w:ascii="Times New Roman" w:hAnsi="Times New Roman"/>
                <w:color w:val="auto"/>
                <w:szCs w:val="21"/>
              </w:rPr>
              <w:t>马克思主义与社会科学方法论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color w:val="auto"/>
                <w:szCs w:val="21"/>
              </w:rPr>
            </w:pPr>
            <w:r>
              <w:rPr>
                <w:rFonts w:ascii="Times New Roman" w:hAnsi="Times New Roman"/>
                <w:color w:val="auto"/>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color w:val="auto"/>
                <w:szCs w:val="21"/>
              </w:rPr>
            </w:pPr>
            <w:r>
              <w:rPr>
                <w:rFonts w:ascii="Times New Roman" w:hAnsi="Times New Roman"/>
                <w:color w:val="auto"/>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color w:val="auto"/>
                <w:szCs w:val="21"/>
              </w:rPr>
            </w:pPr>
            <w:r>
              <w:rPr>
                <w:rFonts w:ascii="Times New Roman" w:hAnsi="Times New Roman"/>
                <w:color w:val="auto"/>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color w:val="auto"/>
                <w:szCs w:val="21"/>
              </w:rPr>
            </w:pPr>
            <w:r>
              <w:rPr>
                <w:rFonts w:ascii="Times New Roman" w:hAnsi="Times New Roman"/>
                <w:color w:val="auto"/>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color w:val="auto"/>
                <w:szCs w:val="21"/>
              </w:rPr>
            </w:pPr>
            <w:r>
              <w:rPr>
                <w:rFonts w:ascii="Times New Roman" w:hAnsi="Times New Roman"/>
                <w:color w:val="auto"/>
                <w:szCs w:val="21"/>
              </w:rPr>
              <w:t>二选一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color w:val="auto"/>
                <w:szCs w:val="21"/>
              </w:rPr>
            </w:pPr>
          </w:p>
        </w:tc>
        <w:tc>
          <w:tcPr>
            <w:tcW w:w="386" w:type="dxa"/>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color w:val="auto"/>
                <w:szCs w:val="21"/>
              </w:rPr>
            </w:pPr>
            <w:r>
              <w:rPr>
                <w:rFonts w:ascii="Times New Roman" w:hAnsi="Times New Roman" w:eastAsia="黑体"/>
                <w:color w:val="auto"/>
                <w:szCs w:val="21"/>
              </w:rPr>
              <w:t>学科核心课</w:t>
            </w: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left"/>
              <w:rPr>
                <w:rFonts w:ascii="Times New Roman" w:hAnsi="Times New Roman" w:eastAsia="Arial Unicode MS"/>
                <w:color w:val="auto"/>
                <w:sz w:val="18"/>
                <w:szCs w:val="18"/>
              </w:rPr>
            </w:pPr>
            <w:r>
              <w:rPr>
                <w:rFonts w:ascii="Times New Roman" w:hAnsi="Times New Roman"/>
                <w:color w:val="auto"/>
                <w:szCs w:val="21"/>
                <w:lang w:val="zh-CN"/>
              </w:rPr>
              <w:t>1111000009001</w:t>
            </w:r>
          </w:p>
        </w:tc>
        <w:tc>
          <w:tcPr>
            <w:tcW w:w="243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Arial Unicode MS"/>
                <w:color w:val="auto"/>
                <w:szCs w:val="21"/>
              </w:rPr>
            </w:pPr>
            <w:r>
              <w:rPr>
                <w:rFonts w:ascii="Times New Roman" w:hAnsi="Times New Roman"/>
                <w:color w:val="auto"/>
                <w:szCs w:val="21"/>
              </w:rPr>
              <w:t>中外主文献研读</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color w:val="auto"/>
                <w:szCs w:val="21"/>
              </w:rPr>
            </w:pPr>
            <w:r>
              <w:rPr>
                <w:rFonts w:ascii="Times New Roman" w:hAnsi="Times New Roman"/>
                <w:color w:val="auto"/>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color w:val="auto"/>
                <w:szCs w:val="21"/>
              </w:rPr>
            </w:pPr>
            <w:r>
              <w:rPr>
                <w:rFonts w:hint="eastAsia" w:ascii="Times New Roman" w:hAnsi="Times New Roman" w:eastAsia="Arial Unicode MS"/>
                <w:color w:val="auto"/>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color w:val="auto"/>
                <w:szCs w:val="21"/>
              </w:rPr>
            </w:pPr>
            <w:r>
              <w:rPr>
                <w:rFonts w:hint="eastAsia" w:ascii="Times New Roman" w:hAnsi="Times New Roman" w:eastAsia="Arial Unicode MS"/>
                <w:color w:val="auto"/>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r>
              <w:rPr>
                <w:rFonts w:ascii="Times New Roman" w:hAnsi="Times New Roman"/>
                <w:color w:val="auto"/>
                <w:szCs w:val="21"/>
              </w:rPr>
              <w:t>考查</w:t>
            </w:r>
          </w:p>
        </w:tc>
        <w:tc>
          <w:tcPr>
            <w:tcW w:w="1276" w:type="dxa"/>
            <w:vMerge w:val="restart"/>
            <w:tcBorders>
              <w:top w:val="single" w:color="auto" w:sz="4" w:space="0"/>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r>
              <w:rPr>
                <w:rFonts w:ascii="Times New Roman" w:hAnsi="Times New Roman"/>
                <w:color w:val="auto"/>
                <w:szCs w:val="21"/>
              </w:rPr>
              <w:t>所有方向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color w:val="auto"/>
                <w:szCs w:val="21"/>
              </w:rPr>
            </w:pPr>
          </w:p>
        </w:tc>
        <w:tc>
          <w:tcPr>
            <w:tcW w:w="38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黑体"/>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left"/>
              <w:rPr>
                <w:rFonts w:ascii="Times New Roman" w:hAnsi="Times New Roman" w:eastAsia="Arial Unicode MS"/>
                <w:color w:val="auto"/>
                <w:sz w:val="18"/>
                <w:szCs w:val="18"/>
              </w:rPr>
            </w:pPr>
            <w:r>
              <w:rPr>
                <w:rFonts w:hint="eastAsia" w:ascii="Times New Roman" w:hAnsi="Times New Roman"/>
                <w:color w:val="auto"/>
                <w:szCs w:val="21"/>
                <w:lang w:val="zh-CN"/>
              </w:rPr>
              <w:t>1111000009002</w:t>
            </w:r>
          </w:p>
        </w:tc>
        <w:tc>
          <w:tcPr>
            <w:tcW w:w="243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color w:val="auto"/>
                <w:szCs w:val="21"/>
                <w:highlight w:val="yellow"/>
              </w:rPr>
            </w:pPr>
            <w:r>
              <w:rPr>
                <w:rFonts w:hint="eastAsia" w:ascii="Times New Roman" w:hAnsi="Times New Roman"/>
                <w:color w:val="auto"/>
                <w:szCs w:val="21"/>
              </w:rPr>
              <w:t>学术道德与论文写作</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color w:val="auto"/>
                <w:szCs w:val="21"/>
              </w:rPr>
            </w:pPr>
            <w:r>
              <w:rPr>
                <w:rFonts w:ascii="Times New Roman" w:hAnsi="Times New Roman"/>
                <w:color w:val="auto"/>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color w:val="auto"/>
                <w:szCs w:val="21"/>
              </w:rPr>
            </w:pPr>
            <w:r>
              <w:rPr>
                <w:rFonts w:hint="eastAsia" w:ascii="Times New Roman" w:hAnsi="Times New Roman" w:eastAsia="Arial Unicode MS"/>
                <w:color w:val="auto"/>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color w:val="auto"/>
                <w:szCs w:val="21"/>
              </w:rPr>
            </w:pPr>
            <w:r>
              <w:rPr>
                <w:rFonts w:hint="eastAsia" w:ascii="Times New Roman" w:hAnsi="Times New Roman" w:eastAsia="Arial Unicode MS"/>
                <w:color w:val="auto"/>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r>
              <w:rPr>
                <w:rFonts w:ascii="Times New Roman" w:hAnsi="Times New Roman"/>
                <w:color w:val="auto"/>
                <w:szCs w:val="21"/>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color w:val="auto"/>
                <w:szCs w:val="21"/>
              </w:rPr>
            </w:pPr>
          </w:p>
        </w:tc>
        <w:tc>
          <w:tcPr>
            <w:tcW w:w="38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黑体"/>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Arial Unicode MS"/>
                <w:color w:val="auto"/>
                <w:sz w:val="18"/>
                <w:szCs w:val="18"/>
              </w:rPr>
            </w:pPr>
            <w:r>
              <w:rPr>
                <w:rFonts w:hint="eastAsia" w:ascii="Times New Roman" w:hAnsi="Times New Roman"/>
                <w:color w:val="auto"/>
                <w:szCs w:val="21"/>
              </w:rPr>
              <w:t>1</w:t>
            </w:r>
            <w:r>
              <w:rPr>
                <w:rFonts w:ascii="Times New Roman" w:hAnsi="Times New Roman"/>
                <w:color w:val="auto"/>
                <w:szCs w:val="21"/>
              </w:rPr>
              <w:t>111030300002</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中国社会学史</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1</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54</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color w:val="auto"/>
                <w:szCs w:val="21"/>
              </w:rPr>
            </w:pPr>
          </w:p>
        </w:tc>
        <w:tc>
          <w:tcPr>
            <w:tcW w:w="386" w:type="dxa"/>
            <w:vMerge w:val="continue"/>
            <w:tcBorders>
              <w:left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Arial Unicode MS"/>
                <w:color w:val="auto"/>
                <w:sz w:val="18"/>
                <w:szCs w:val="18"/>
              </w:rPr>
            </w:pPr>
            <w:r>
              <w:rPr>
                <w:rFonts w:hint="eastAsia" w:ascii="Times New Roman" w:hAnsi="Times New Roman"/>
                <w:color w:val="auto"/>
                <w:szCs w:val="21"/>
              </w:rPr>
              <w:t>1</w:t>
            </w:r>
            <w:r>
              <w:rPr>
                <w:rFonts w:ascii="Times New Roman" w:hAnsi="Times New Roman"/>
                <w:color w:val="auto"/>
                <w:szCs w:val="21"/>
              </w:rPr>
              <w:t>111030300003</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社会学理论</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1</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54</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color w:val="auto"/>
                <w:szCs w:val="21"/>
              </w:rPr>
            </w:pPr>
          </w:p>
        </w:tc>
        <w:tc>
          <w:tcPr>
            <w:tcW w:w="386" w:type="dxa"/>
            <w:vMerge w:val="continue"/>
            <w:tcBorders>
              <w:left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Arial Unicode MS"/>
                <w:color w:val="auto"/>
                <w:sz w:val="18"/>
                <w:szCs w:val="18"/>
              </w:rPr>
            </w:pPr>
            <w:r>
              <w:rPr>
                <w:rFonts w:hint="eastAsia" w:ascii="Times New Roman" w:hAnsi="Times New Roman"/>
                <w:color w:val="auto"/>
                <w:szCs w:val="21"/>
              </w:rPr>
              <w:t>1</w:t>
            </w:r>
            <w:r>
              <w:rPr>
                <w:rFonts w:ascii="Times New Roman" w:hAnsi="Times New Roman"/>
                <w:color w:val="auto"/>
                <w:szCs w:val="21"/>
              </w:rPr>
              <w:t>111030300004</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社会研究方法I：定量方法</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1</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54</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color w:val="auto"/>
                <w:szCs w:val="21"/>
              </w:rPr>
            </w:pPr>
          </w:p>
        </w:tc>
        <w:tc>
          <w:tcPr>
            <w:tcW w:w="386" w:type="dxa"/>
            <w:vMerge w:val="continue"/>
            <w:tcBorders>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Arial Unicode MS"/>
                <w:color w:val="auto"/>
                <w:sz w:val="18"/>
                <w:szCs w:val="18"/>
              </w:rPr>
            </w:pPr>
            <w:r>
              <w:rPr>
                <w:rFonts w:hint="eastAsia" w:ascii="Times New Roman" w:hAnsi="Times New Roman"/>
                <w:color w:val="auto"/>
                <w:szCs w:val="21"/>
              </w:rPr>
              <w:t>1</w:t>
            </w:r>
            <w:r>
              <w:rPr>
                <w:rFonts w:ascii="Times New Roman" w:hAnsi="Times New Roman"/>
                <w:color w:val="auto"/>
                <w:szCs w:val="21"/>
              </w:rPr>
              <w:t>111030300005</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社会研究方法II：定性方法</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54</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386" w:type="dxa"/>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color w:val="auto"/>
                <w:szCs w:val="21"/>
              </w:rPr>
            </w:pPr>
            <w:r>
              <w:rPr>
                <w:rFonts w:ascii="Times New Roman" w:hAnsi="Times New Roman" w:eastAsia="黑体"/>
                <w:color w:val="auto"/>
                <w:szCs w:val="21"/>
              </w:rPr>
              <w:t>专业课</w:t>
            </w: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1111030300041</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社会治理学专题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restart"/>
            <w:tcBorders>
              <w:top w:val="single" w:color="auto" w:sz="4" w:space="0"/>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r>
              <w:rPr>
                <w:rFonts w:ascii="Times New Roman" w:hAnsi="Times New Roman"/>
                <w:color w:val="auto"/>
                <w:szCs w:val="21"/>
              </w:rPr>
              <w:t>六选二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4" w:hRule="atLeast"/>
        </w:trPr>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1111030300042</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社会工作与社会政策专题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111030300008</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社会学前沿研究专题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111030300009</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社会心理学专题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111030300010</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文化人类学专题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111030300011</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农村社会学专题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color w:val="auto"/>
                <w:szCs w:val="21"/>
              </w:rPr>
            </w:pPr>
            <w:r>
              <w:rPr>
                <w:rFonts w:ascii="Times New Roman" w:hAnsi="Times New Roman" w:eastAsia="黑体"/>
                <w:color w:val="auto"/>
                <w:szCs w:val="21"/>
              </w:rPr>
              <w:t>选</w:t>
            </w:r>
          </w:p>
          <w:p>
            <w:pPr>
              <w:spacing w:line="280" w:lineRule="exact"/>
              <w:jc w:val="center"/>
              <w:rPr>
                <w:rFonts w:ascii="Times New Roman" w:hAnsi="Times New Roman" w:eastAsia="黑体"/>
                <w:color w:val="auto"/>
                <w:szCs w:val="21"/>
              </w:rPr>
            </w:pPr>
          </w:p>
          <w:p>
            <w:pPr>
              <w:spacing w:line="280" w:lineRule="exact"/>
              <w:jc w:val="center"/>
              <w:rPr>
                <w:rFonts w:ascii="Times New Roman" w:hAnsi="Times New Roman" w:eastAsia="黑体"/>
                <w:color w:val="auto"/>
                <w:szCs w:val="21"/>
              </w:rPr>
            </w:pPr>
            <w:r>
              <w:rPr>
                <w:rFonts w:ascii="Times New Roman" w:hAnsi="Times New Roman" w:eastAsia="黑体"/>
                <w:color w:val="auto"/>
                <w:szCs w:val="21"/>
              </w:rPr>
              <w:t>修</w:t>
            </w:r>
          </w:p>
          <w:p>
            <w:pPr>
              <w:spacing w:line="280" w:lineRule="exact"/>
              <w:jc w:val="center"/>
              <w:rPr>
                <w:rFonts w:ascii="Times New Roman" w:hAnsi="Times New Roman" w:eastAsia="黑体"/>
                <w:color w:val="auto"/>
                <w:szCs w:val="21"/>
              </w:rPr>
            </w:pPr>
          </w:p>
          <w:p>
            <w:pPr>
              <w:spacing w:line="280" w:lineRule="exact"/>
              <w:jc w:val="center"/>
              <w:rPr>
                <w:rFonts w:ascii="Times New Roman" w:hAnsi="Times New Roman" w:eastAsia="黑体"/>
                <w:color w:val="auto"/>
                <w:szCs w:val="21"/>
              </w:rPr>
            </w:pPr>
            <w:r>
              <w:rPr>
                <w:rFonts w:ascii="Times New Roman" w:hAnsi="Times New Roman" w:eastAsia="黑体"/>
                <w:color w:val="auto"/>
                <w:szCs w:val="21"/>
              </w:rPr>
              <w:t>课</w:t>
            </w: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111030300012</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中国社会转型研究专题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restart"/>
            <w:tcBorders>
              <w:top w:val="single" w:color="auto" w:sz="4" w:space="0"/>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r>
              <w:rPr>
                <w:rFonts w:ascii="Times New Roman" w:hAnsi="Times New Roman"/>
                <w:color w:val="auto"/>
                <w:szCs w:val="21"/>
              </w:rPr>
              <w:t>任选二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111030300017</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政治社会学专题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111030300016</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社会人类学专题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111030300019</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组织社会学专题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111030300020</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时空社会学专题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111030300014</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color w:val="auto"/>
              </w:rPr>
              <w:t>教育社会学</w:t>
            </w:r>
            <w:r>
              <w:rPr>
                <w:rFonts w:hint="eastAsia"/>
                <w:color w:val="auto"/>
              </w:rPr>
              <w:t>专题</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lang w:val="zh-CN"/>
              </w:rPr>
            </w:pPr>
            <w:r>
              <w:rPr>
                <w:rFonts w:hint="eastAsia" w:ascii="Times New Roman" w:hAnsi="Times New Roman"/>
                <w:color w:val="auto"/>
                <w:szCs w:val="21"/>
                <w:lang w:val="zh-CN"/>
              </w:rPr>
              <w:t>1111030300043</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当代心理学进展</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 w:val="18"/>
                <w:szCs w:val="18"/>
              </w:rPr>
            </w:pPr>
            <w:r>
              <w:rPr>
                <w:rFonts w:hint="eastAsia" w:ascii="Times New Roman" w:hAnsi="Times New Roman"/>
                <w:color w:val="auto"/>
                <w:szCs w:val="21"/>
              </w:rPr>
              <w:t>1</w:t>
            </w:r>
            <w:r>
              <w:rPr>
                <w:rFonts w:ascii="Times New Roman" w:hAnsi="Times New Roman"/>
                <w:color w:val="auto"/>
                <w:szCs w:val="21"/>
              </w:rPr>
              <w:t>111030300034</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跨文化传播专题研究</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color w:val="auto"/>
              </w:rPr>
              <w:t>3</w:t>
            </w:r>
          </w:p>
        </w:tc>
        <w:tc>
          <w:tcPr>
            <w:tcW w:w="709"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36</w:t>
            </w:r>
          </w:p>
        </w:tc>
        <w:tc>
          <w:tcPr>
            <w:tcW w:w="708"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2</w:t>
            </w:r>
          </w:p>
        </w:tc>
        <w:tc>
          <w:tcPr>
            <w:tcW w:w="851" w:type="dxa"/>
            <w:tcBorders>
              <w:top w:val="single" w:color="auto" w:sz="4" w:space="0"/>
              <w:left w:val="single" w:color="auto" w:sz="4" w:space="0"/>
              <w:bottom w:val="single" w:color="auto" w:sz="4" w:space="0"/>
              <w:right w:val="single" w:color="auto" w:sz="4" w:space="0"/>
            </w:tcBorders>
          </w:tcPr>
          <w:p>
            <w:pPr>
              <w:jc w:val="center"/>
              <w:rPr>
                <w:color w:val="auto"/>
              </w:rPr>
            </w:pPr>
            <w:r>
              <w:rPr>
                <w:rFonts w:hint="eastAsia"/>
                <w:color w:val="auto"/>
              </w:rPr>
              <w:t>考查</w:t>
            </w:r>
          </w:p>
        </w:tc>
        <w:tc>
          <w:tcPr>
            <w:tcW w:w="1276" w:type="dxa"/>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772"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8267"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ascii="Times New Roman" w:hAnsi="Times New Roman"/>
                <w:color w:val="auto"/>
              </w:rPr>
              <w:t>至少选修一门跨学科课程</w:t>
            </w:r>
            <w:r>
              <w:rPr>
                <w:rFonts w:hint="eastAsia" w:ascii="Times New Roman" w:hAnsi="Times New Roman"/>
                <w:color w:val="auto"/>
              </w:rPr>
              <w:t>和一门</w:t>
            </w:r>
            <w:r>
              <w:rPr>
                <w:rFonts w:ascii="Times New Roman" w:hAnsi="Times New Roman"/>
                <w:color w:val="auto"/>
              </w:rPr>
              <w:t>全校性创新创业</w:t>
            </w:r>
            <w:r>
              <w:rPr>
                <w:rFonts w:hint="eastAsia" w:ascii="Times New Roman" w:hAnsi="Times New Roman"/>
                <w:color w:val="auto"/>
              </w:rPr>
              <w:t>在线</w:t>
            </w:r>
            <w:r>
              <w:rPr>
                <w:rFonts w:ascii="Times New Roman" w:hAnsi="Times New Roman"/>
                <w:color w:val="auto"/>
              </w:rPr>
              <w:t>课程</w:t>
            </w:r>
            <w:r>
              <w:rPr>
                <w:rFonts w:hint="eastAsia" w:ascii="Times New Roman" w:hAnsi="Times New Roman"/>
                <w:color w:val="auto"/>
              </w:rPr>
              <w:t>（多选只计1门课程学分）。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restart"/>
            <w:tcBorders>
              <w:top w:val="single" w:color="auto" w:sz="4" w:space="0"/>
              <w:left w:val="single" w:color="auto" w:sz="4" w:space="0"/>
              <w:right w:val="single" w:color="auto" w:sz="4" w:space="0"/>
            </w:tcBorders>
            <w:vAlign w:val="center"/>
          </w:tcPr>
          <w:p>
            <w:pPr>
              <w:spacing w:line="340" w:lineRule="exact"/>
              <w:jc w:val="center"/>
              <w:rPr>
                <w:rFonts w:ascii="Times New Roman" w:hAnsi="Times New Roman" w:eastAsia="黑体"/>
                <w:color w:val="auto"/>
                <w:szCs w:val="21"/>
              </w:rPr>
            </w:pPr>
            <w:r>
              <w:rPr>
                <w:rFonts w:ascii="Times New Roman" w:hAnsi="Times New Roman" w:eastAsia="黑体"/>
                <w:color w:val="auto"/>
                <w:szCs w:val="21"/>
              </w:rPr>
              <w:t>跨学科或同等学力考生补修课程</w:t>
            </w: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至少三门</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color w:val="auto"/>
                <w:szCs w:val="21"/>
              </w:rPr>
            </w:pPr>
          </w:p>
        </w:tc>
        <w:tc>
          <w:tcPr>
            <w:tcW w:w="2835" w:type="dxa"/>
            <w:gridSpan w:val="3"/>
            <w:vMerge w:val="restart"/>
            <w:tcBorders>
              <w:top w:val="single" w:color="auto" w:sz="4" w:space="0"/>
              <w:left w:val="single" w:color="auto" w:sz="4" w:space="0"/>
              <w:right w:val="single" w:color="auto" w:sz="4" w:space="0"/>
            </w:tcBorders>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备注</w:t>
            </w:r>
            <w:r>
              <w:rPr>
                <w:rFonts w:ascii="Times New Roman" w:hAnsi="Times New Roman"/>
                <w:color w:val="auto"/>
                <w:szCs w:val="21"/>
              </w:rPr>
              <w:t>：</w:t>
            </w:r>
          </w:p>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110030300001</w:t>
            </w:r>
          </w:p>
        </w:tc>
        <w:tc>
          <w:tcPr>
            <w:tcW w:w="2430" w:type="dxa"/>
            <w:tcBorders>
              <w:top w:val="single" w:color="auto" w:sz="4" w:space="0"/>
              <w:left w:val="single" w:color="auto" w:sz="4" w:space="0"/>
              <w:bottom w:val="single" w:color="auto" w:sz="4" w:space="0"/>
              <w:right w:val="single" w:color="auto" w:sz="4" w:space="0"/>
            </w:tcBorders>
          </w:tcPr>
          <w:p>
            <w:pPr>
              <w:rPr>
                <w:color w:val="auto"/>
              </w:rPr>
            </w:pPr>
            <w:r>
              <w:rPr>
                <w:color w:val="auto"/>
              </w:rPr>
              <w:t>国外社会学史</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color w:val="auto"/>
                <w:szCs w:val="21"/>
              </w:rPr>
            </w:pPr>
          </w:p>
        </w:tc>
        <w:tc>
          <w:tcPr>
            <w:tcW w:w="2835" w:type="dxa"/>
            <w:gridSpan w:val="3"/>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110030300002</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color w:val="auto"/>
              </w:rPr>
              <w:t>社会调查研究方法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color w:val="auto"/>
                <w:szCs w:val="21"/>
              </w:rPr>
            </w:pPr>
          </w:p>
        </w:tc>
        <w:tc>
          <w:tcPr>
            <w:tcW w:w="2835" w:type="dxa"/>
            <w:gridSpan w:val="3"/>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110030300003</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r>
              <w:rPr>
                <w:rFonts w:ascii="Times New Roman" w:hAnsi="Times New Roman"/>
                <w:color w:val="auto"/>
                <w:szCs w:val="21"/>
              </w:rPr>
              <w:t>社会学导论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color w:val="auto"/>
                <w:szCs w:val="21"/>
              </w:rPr>
            </w:pPr>
          </w:p>
        </w:tc>
        <w:tc>
          <w:tcPr>
            <w:tcW w:w="2835" w:type="dxa"/>
            <w:gridSpan w:val="3"/>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243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color w:val="auto"/>
                <w:szCs w:val="21"/>
              </w:rPr>
            </w:pPr>
          </w:p>
        </w:tc>
        <w:tc>
          <w:tcPr>
            <w:tcW w:w="2835" w:type="dxa"/>
            <w:gridSpan w:val="3"/>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黑体"/>
                <w:color w:val="auto"/>
                <w:szCs w:val="21"/>
              </w:rPr>
            </w:pPr>
            <w:r>
              <w:rPr>
                <w:rFonts w:ascii="Times New Roman" w:hAnsi="Times New Roman" w:eastAsia="黑体"/>
                <w:color w:val="auto"/>
                <w:szCs w:val="21"/>
              </w:rPr>
              <w:t>应修学分要求</w:t>
            </w:r>
          </w:p>
        </w:tc>
        <w:tc>
          <w:tcPr>
            <w:tcW w:w="826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atLeast"/>
              <w:rPr>
                <w:rFonts w:ascii="Times New Roman" w:hAnsi="Times New Roman"/>
                <w:color w:val="auto"/>
              </w:rPr>
            </w:pPr>
            <w:r>
              <w:rPr>
                <w:rFonts w:ascii="Times New Roman" w:hAnsi="Times New Roman"/>
                <w:color w:val="auto"/>
              </w:rPr>
              <w:t>应修</w:t>
            </w:r>
            <w:r>
              <w:rPr>
                <w:rFonts w:hint="eastAsia" w:ascii="Times New Roman" w:hAnsi="Times New Roman"/>
                <w:color w:val="auto"/>
              </w:rPr>
              <w:t>最低</w:t>
            </w:r>
            <w:r>
              <w:rPr>
                <w:rFonts w:ascii="Times New Roman" w:hAnsi="Times New Roman"/>
                <w:color w:val="auto"/>
              </w:rPr>
              <w:t>学分：</w:t>
            </w:r>
            <w:r>
              <w:rPr>
                <w:rFonts w:ascii="Times New Roman" w:hAnsi="Times New Roman"/>
                <w:color w:val="auto"/>
                <w:u w:val="single"/>
              </w:rPr>
              <w:t>32</w:t>
            </w:r>
            <w:r>
              <w:rPr>
                <w:rFonts w:ascii="Times New Roman" w:hAnsi="Times New Roman"/>
                <w:color w:val="auto"/>
              </w:rPr>
              <w:t>学分（</w:t>
            </w:r>
            <w:r>
              <w:rPr>
                <w:rFonts w:hint="eastAsia" w:ascii="Times New Roman" w:hAnsi="Times New Roman"/>
                <w:b/>
                <w:color w:val="auto"/>
              </w:rPr>
              <w:t>具体</w:t>
            </w:r>
            <w:r>
              <w:rPr>
                <w:rFonts w:ascii="Times New Roman" w:hAnsi="Times New Roman"/>
                <w:b/>
                <w:color w:val="auto"/>
              </w:rPr>
              <w:t>由各学科自定</w:t>
            </w:r>
            <w:r>
              <w:rPr>
                <w:rFonts w:ascii="Times New Roman" w:hAnsi="Times New Roman"/>
                <w:color w:val="auto"/>
              </w:rPr>
              <w:t>）</w:t>
            </w:r>
          </w:p>
          <w:p>
            <w:pPr>
              <w:snapToGrid w:val="0"/>
              <w:spacing w:after="156" w:afterLines="50" w:line="500" w:lineRule="atLeast"/>
              <w:rPr>
                <w:rFonts w:ascii="Times New Roman" w:hAnsi="Times New Roman"/>
                <w:color w:val="auto"/>
              </w:rPr>
            </w:pPr>
            <w:r>
              <w:rPr>
                <w:rFonts w:hint="eastAsia" w:ascii="Times New Roman" w:hAnsi="Times New Roman"/>
                <w:color w:val="auto"/>
              </w:rPr>
              <w:t>其中必修课程最低学分：</w:t>
            </w:r>
            <w:r>
              <w:rPr>
                <w:rFonts w:hint="eastAsia" w:ascii="Times New Roman" w:hAnsi="Times New Roman"/>
                <w:color w:val="auto"/>
                <w:u w:val="single"/>
              </w:rPr>
              <w:t>　　　</w:t>
            </w:r>
            <w:r>
              <w:rPr>
                <w:rFonts w:ascii="Times New Roman" w:hAnsi="Times New Roman"/>
                <w:color w:val="auto"/>
                <w:u w:val="single"/>
              </w:rPr>
              <w:t>28</w:t>
            </w:r>
            <w:r>
              <w:rPr>
                <w:rFonts w:hint="eastAsia" w:ascii="Times New Roman" w:hAnsi="Times New Roman"/>
                <w:color w:val="auto"/>
                <w:u w:val="single"/>
              </w:rPr>
              <w:t>　　</w:t>
            </w:r>
            <w:r>
              <w:rPr>
                <w:rFonts w:hint="eastAsia" w:ascii="Times New Roman" w:hAnsi="Times New Roman"/>
                <w:color w:val="auto"/>
              </w:rPr>
              <w:t>学分（含学术活动+实践训练4学分）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黑体"/>
                <w:color w:val="auto"/>
                <w:szCs w:val="21"/>
              </w:rPr>
            </w:pPr>
            <w:r>
              <w:rPr>
                <w:rFonts w:ascii="Times New Roman" w:hAnsi="Times New Roman" w:eastAsia="黑体"/>
                <w:color w:val="auto"/>
                <w:szCs w:val="21"/>
              </w:rPr>
              <w:t>备注</w:t>
            </w:r>
          </w:p>
        </w:tc>
        <w:tc>
          <w:tcPr>
            <w:tcW w:w="8267" w:type="dxa"/>
            <w:gridSpan w:val="7"/>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．“跨学科”指按照跨一级学科认定，如有特殊情况，在备注中予以说明。</w:t>
            </w:r>
          </w:p>
          <w:p>
            <w:pPr>
              <w:snapToGrid w:val="0"/>
              <w:ind w:firstLine="42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．课程免修按</w:t>
            </w:r>
            <w:r>
              <w:rPr>
                <w:rFonts w:hint="eastAsia"/>
                <w:color w:val="auto"/>
              </w:rPr>
              <w:t>学校相关规定</w:t>
            </w:r>
            <w:r>
              <w:rPr>
                <w:rFonts w:hint="eastAsia" w:ascii="Times New Roman" w:hAnsi="Times New Roman"/>
                <w:color w:val="auto"/>
              </w:rPr>
              <w:t>执行。</w:t>
            </w:r>
          </w:p>
          <w:p>
            <w:pPr>
              <w:adjustRightInd w:val="0"/>
              <w:snapToGrid w:val="0"/>
              <w:ind w:firstLine="420" w:firstLineChars="200"/>
              <w:rPr>
                <w:rFonts w:ascii="Times New Roman" w:hAnsi="Times New Roman" w:eastAsia="方正仿宋_GBK"/>
                <w:color w:val="auto"/>
                <w:sz w:val="30"/>
                <w:szCs w:val="30"/>
              </w:rPr>
            </w:pPr>
            <w:r>
              <w:rPr>
                <w:rFonts w:ascii="Times New Roman" w:hAnsi="Times New Roman"/>
                <w:color w:val="auto"/>
              </w:rPr>
              <w:t>3</w:t>
            </w:r>
            <w:r>
              <w:rPr>
                <w:rFonts w:hint="eastAsia" w:ascii="Times New Roman" w:hAnsi="Times New Roman"/>
                <w:color w:val="auto"/>
              </w:rPr>
              <w:t>．全校各培养单位开设的所有研究生课程均可作为选修课。</w:t>
            </w:r>
          </w:p>
          <w:p>
            <w:pPr>
              <w:snapToGrid w:val="0"/>
              <w:ind w:firstLine="420" w:firstLineChars="200"/>
              <w:rPr>
                <w:rFonts w:ascii="Times New Roman" w:hAnsi="Times New Roman"/>
                <w:color w:val="auto"/>
              </w:rPr>
            </w:pPr>
            <w:r>
              <w:rPr>
                <w:rFonts w:hint="eastAsia" w:ascii="Times New Roman" w:hAnsi="Times New Roman"/>
                <w:color w:val="auto"/>
              </w:rPr>
              <w:t>4．本表格可加行。</w:t>
            </w:r>
          </w:p>
        </w:tc>
      </w:tr>
    </w:tbl>
    <w:p>
      <w:pPr>
        <w:snapToGrid w:val="0"/>
        <w:spacing w:line="520" w:lineRule="exact"/>
        <w:ind w:firstLine="420" w:firstLineChars="200"/>
        <w:rPr>
          <w:rFonts w:ascii="Times New Roman" w:hAnsi="Times New Roman"/>
          <w:color w:val="auto"/>
        </w:rPr>
        <w:sectPr>
          <w:pgSz w:w="11906" w:h="16838"/>
          <w:pgMar w:top="1418" w:right="1247" w:bottom="1418" w:left="1247" w:header="851" w:footer="992" w:gutter="0"/>
          <w:cols w:space="720" w:num="1"/>
          <w:docGrid w:type="linesAndChars" w:linePitch="312" w:charSpace="0"/>
        </w:sectPr>
      </w:pP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（二）学术活动</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学生在学习期间至少参加15次学术活动，其中参加读书报告不少于5次，参与文献研读与文献综述活动不少于5次，参加学术讲座不少于5次。在学术活动结束后3个工作日内，通过研究生管理信息系统提交报告，导师或导师组据实考核，记2学分。</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 xml:space="preserve">（三）实践训练 </w:t>
      </w:r>
    </w:p>
    <w:p>
      <w:pPr>
        <w:snapToGrid w:val="0"/>
        <w:spacing w:before="156" w:beforeLines="50" w:after="156" w:after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 xml:space="preserve">  专业实践包括参加导师、导师组或本人主持的科研项目，以及决策咨询与社会服务、社会调查与社会实践等活动。教学实践可以采取协助主讲教师辅导与答疑；主持课堂讨论；指导社会调查和教学实践；指导论文写作等方式；社会实践包括深入企事业单位、城乡社区等基层开展社会实践调查、业务实习、科技推广等实际工作，撰写社会实践（调查）报告。学生在社会、教学和科研实践活动中三选一，在导师审查签字后向培养单位提交实践报告1份。</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（四）学位</w:t>
      </w:r>
      <w:r>
        <w:rPr>
          <w:rFonts w:hint="eastAsia" w:ascii="Times New Roman" w:hAnsi="Times New Roman" w:eastAsia="方正仿宋_GBK"/>
          <w:b/>
          <w:color w:val="auto"/>
          <w:sz w:val="30"/>
          <w:szCs w:val="30"/>
        </w:rPr>
        <w:t>（毕业）</w:t>
      </w:r>
      <w:r>
        <w:rPr>
          <w:rFonts w:ascii="Times New Roman" w:hAnsi="Times New Roman" w:eastAsia="方正仿宋_GBK"/>
          <w:b/>
          <w:color w:val="auto"/>
          <w:sz w:val="30"/>
          <w:szCs w:val="30"/>
        </w:rPr>
        <w:t xml:space="preserve">论文 </w:t>
      </w:r>
    </w:p>
    <w:p>
      <w:pPr>
        <w:snapToGrid w:val="0"/>
        <w:spacing w:line="520" w:lineRule="exact"/>
        <w:ind w:firstLine="600" w:firstLineChars="200"/>
        <w:rPr>
          <w:rFonts w:ascii="Times New Roman" w:hAnsi="Times New Roman" w:eastAsia="方正仿宋_GBK"/>
          <w:b/>
          <w:color w:val="auto"/>
          <w:sz w:val="30"/>
          <w:szCs w:val="30"/>
        </w:rPr>
      </w:pPr>
      <w:r>
        <w:rPr>
          <w:rFonts w:hint="eastAsia" w:ascii="Times New Roman" w:hAnsi="Times New Roman" w:eastAsia="方正仿宋_GBK"/>
          <w:b/>
          <w:color w:val="auto"/>
          <w:sz w:val="30"/>
          <w:szCs w:val="30"/>
        </w:rPr>
        <w:t>1</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开题条件</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在开展学位论文研究工作之前，硕士研究生须通过</w:t>
      </w:r>
      <w:r>
        <w:rPr>
          <w:rFonts w:hint="eastAsia" w:ascii="Times New Roman" w:hAnsi="Times New Roman" w:eastAsia="方正仿宋_GBK"/>
          <w:color w:val="auto"/>
          <w:sz w:val="30"/>
          <w:szCs w:val="30"/>
        </w:rPr>
        <w:t>学业综合考核</w:t>
      </w:r>
      <w:r>
        <w:rPr>
          <w:rFonts w:hint="eastAsia" w:ascii="Times New Roman" w:hAnsi="Times New Roman" w:eastAsia="方正仿宋_GBK"/>
          <w:color w:val="auto"/>
          <w:sz w:val="30"/>
          <w:szCs w:val="30"/>
        </w:rPr>
        <w:t>。</w:t>
      </w:r>
    </w:p>
    <w:p>
      <w:pPr>
        <w:snapToGrid w:val="0"/>
        <w:spacing w:line="520" w:lineRule="exact"/>
        <w:ind w:firstLine="600" w:firstLineChars="200"/>
        <w:rPr>
          <w:rFonts w:ascii="Times New Roman" w:hAnsi="Times New Roman" w:eastAsia="方正仿宋_GBK"/>
          <w:b/>
          <w:color w:val="auto"/>
          <w:sz w:val="30"/>
          <w:szCs w:val="30"/>
        </w:rPr>
      </w:pPr>
      <w:r>
        <w:rPr>
          <w:rFonts w:hint="eastAsia" w:ascii="Times New Roman" w:hAnsi="Times New Roman" w:eastAsia="方正仿宋_GBK"/>
          <w:b/>
          <w:color w:val="auto"/>
          <w:sz w:val="30"/>
          <w:szCs w:val="30"/>
        </w:rPr>
        <w:t>2</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 xml:space="preserve">选题要求 </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选题必须在社会学学科领域内进行，贴合研究方向，经过专家论证后方可选择交叉领域；具有一定的学术价值和社会意义；能掌握坚实的基础理论和系统的专门知识；了解与论文相关的前沿研究动态；研究主题明确、问题集中、论证严密可靠、有明显的专业特色、有新见解。</w:t>
      </w:r>
    </w:p>
    <w:p>
      <w:pPr>
        <w:snapToGrid w:val="0"/>
        <w:spacing w:line="520" w:lineRule="exact"/>
        <w:ind w:firstLine="600" w:firstLineChars="200"/>
        <w:rPr>
          <w:rFonts w:ascii="Times New Roman" w:hAnsi="Times New Roman" w:eastAsia="方正仿宋_GBK"/>
          <w:b/>
          <w:color w:val="auto"/>
          <w:sz w:val="30"/>
          <w:szCs w:val="30"/>
        </w:rPr>
      </w:pPr>
      <w:r>
        <w:rPr>
          <w:rFonts w:hint="eastAsia" w:ascii="Times New Roman" w:hAnsi="Times New Roman" w:eastAsia="方正仿宋_GBK"/>
          <w:b/>
          <w:color w:val="auto"/>
          <w:sz w:val="30"/>
          <w:szCs w:val="30"/>
        </w:rPr>
        <w:t>3</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开展形式要求</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硕士生学位论文的研究形式可以是实证研究、实验研究、调查研究、理论研究和政策研究，但不可以是单纯的文献综述；学位论文应在导师或导师组指导下独立完成。</w:t>
      </w:r>
    </w:p>
    <w:p>
      <w:pPr>
        <w:snapToGrid w:val="0"/>
        <w:spacing w:line="520" w:lineRule="exact"/>
        <w:ind w:firstLine="600" w:firstLineChars="200"/>
        <w:rPr>
          <w:rFonts w:ascii="Times New Roman" w:hAnsi="Times New Roman" w:eastAsia="方正仿宋_GBK"/>
          <w:b/>
          <w:color w:val="auto"/>
          <w:sz w:val="30"/>
          <w:szCs w:val="30"/>
        </w:rPr>
      </w:pPr>
      <w:r>
        <w:rPr>
          <w:rFonts w:hint="eastAsia" w:ascii="Times New Roman" w:hAnsi="Times New Roman" w:eastAsia="方正仿宋_GBK"/>
          <w:b/>
          <w:color w:val="auto"/>
          <w:sz w:val="30"/>
          <w:szCs w:val="30"/>
        </w:rPr>
        <w:t>4</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工作量要求</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学生用于学位论文研究时间不得低于1年；论文数据和资料必须来自于公开、权威的数据库或一手调查资料，数据必须真实可靠，不得篡改原始数据和造假；论文字数应不少于4万字。</w:t>
      </w:r>
    </w:p>
    <w:p>
      <w:pPr>
        <w:snapToGrid w:val="0"/>
        <w:spacing w:line="520" w:lineRule="exact"/>
        <w:ind w:firstLine="600" w:firstLineChars="200"/>
        <w:rPr>
          <w:rFonts w:ascii="Times New Roman" w:hAnsi="Times New Roman" w:eastAsia="方正仿宋_GBK"/>
          <w:b/>
          <w:color w:val="auto"/>
          <w:sz w:val="30"/>
          <w:szCs w:val="30"/>
        </w:rPr>
      </w:pPr>
      <w:r>
        <w:rPr>
          <w:rFonts w:hint="eastAsia" w:ascii="Times New Roman" w:hAnsi="Times New Roman" w:eastAsia="方正仿宋_GBK"/>
          <w:b/>
          <w:color w:val="auto"/>
          <w:sz w:val="30"/>
          <w:szCs w:val="30"/>
        </w:rPr>
        <w:t>5</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学术规范要求</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研究结果与他人观点、材料、数据等不相混淆，引用他人的观点、材料、数据等注明来源；独立完成论文，对接受导师的指导、采纳专家建议、获得他人帮助等应实事求是表示感谢，不能把未对论文提供帮助的名人等列入致谢之列；涉及到的背景知识、引用的资料和数据准确无误，所用概念、术语、符号、公式等符合学术规范，没有严重错误或使用严重错译的译文；对问题论述完整、系统、逻辑严密，关键词得当；语言精练，语句符合现代汉语规范，错别字、标点符号错误、外文拼写错误、笔误和校对错误等总计不超过论文的万分之一（按排版篇幅计）；毕业论文的查重率不得超过20%。按国家有关规定，对研究工作的原始记录与保存提出明确要求。按学校要求，在《学位论文原创性声明》和《学位论文版权协议书》上签名，并附在学位论文首页。</w:t>
      </w:r>
    </w:p>
    <w:p>
      <w:pPr>
        <w:snapToGrid w:val="0"/>
        <w:spacing w:line="520" w:lineRule="exact"/>
        <w:ind w:firstLine="600" w:firstLineChars="200"/>
        <w:rPr>
          <w:rFonts w:ascii="Times New Roman" w:hAnsi="Times New Roman" w:eastAsia="方正仿宋_GBK"/>
          <w:b/>
          <w:color w:val="auto"/>
          <w:sz w:val="30"/>
          <w:szCs w:val="30"/>
        </w:rPr>
      </w:pPr>
      <w:r>
        <w:rPr>
          <w:rFonts w:hint="eastAsia" w:ascii="Times New Roman" w:hAnsi="Times New Roman" w:eastAsia="方正仿宋_GBK"/>
          <w:b/>
          <w:color w:val="auto"/>
          <w:sz w:val="30"/>
          <w:szCs w:val="30"/>
        </w:rPr>
        <w:t>6</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格式要求</w:t>
      </w:r>
    </w:p>
    <w:p>
      <w:pPr>
        <w:snapToGrid w:val="0"/>
        <w:spacing w:before="156" w:before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规范和统一学位论文格式，参照西南大学给定的硕士学位论文格式标准进行编辑，严格按照《西南大学博士研究生、硕士研究生学位论文撰写及打印要求》执行。</w:t>
      </w:r>
    </w:p>
    <w:p>
      <w:pPr>
        <w:snapToGrid w:val="0"/>
        <w:spacing w:before="156" w:beforeLines="50" w:line="400" w:lineRule="exact"/>
        <w:ind w:firstLine="600" w:firstLineChars="200"/>
        <w:jc w:val="left"/>
        <w:rPr>
          <w:rFonts w:ascii="Times New Roman" w:hAnsi="Times New Roman" w:eastAsia="方正黑体_GBK"/>
          <w:color w:val="auto"/>
          <w:sz w:val="30"/>
          <w:szCs w:val="30"/>
        </w:rPr>
      </w:pPr>
      <w:r>
        <w:rPr>
          <w:rFonts w:hint="eastAsia" w:ascii="Times New Roman" w:hAnsi="Times New Roman" w:eastAsia="方正黑体_GBK"/>
          <w:color w:val="auto"/>
          <w:sz w:val="30"/>
          <w:szCs w:val="30"/>
        </w:rPr>
        <w:t>七、</w:t>
      </w:r>
      <w:r>
        <w:rPr>
          <w:rFonts w:ascii="Times New Roman" w:hAnsi="Times New Roman" w:eastAsia="方正黑体_GBK"/>
          <w:color w:val="auto"/>
          <w:sz w:val="30"/>
          <w:szCs w:val="30"/>
        </w:rPr>
        <w:t>质量控制环节与要求</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一</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培养</w:t>
      </w:r>
      <w:r>
        <w:rPr>
          <w:rFonts w:ascii="Times New Roman" w:hAnsi="Times New Roman" w:eastAsia="方正仿宋_GBK"/>
          <w:b/>
          <w:color w:val="auto"/>
          <w:sz w:val="30"/>
          <w:szCs w:val="30"/>
        </w:rPr>
        <w:t>计划</w:t>
      </w:r>
      <w:r>
        <w:rPr>
          <w:rFonts w:hint="eastAsia" w:ascii="Times New Roman" w:hAnsi="Times New Roman" w:eastAsia="方正仿宋_GBK"/>
          <w:b/>
          <w:color w:val="auto"/>
          <w:sz w:val="30"/>
          <w:szCs w:val="30"/>
        </w:rPr>
        <w:t>制定</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培养计划由学生和导师或导师组共同制定，并由导师或导师组进行审核，于入学三周内完成。</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二</w:t>
      </w:r>
      <w:r>
        <w:rPr>
          <w:rFonts w:ascii="Times New Roman" w:hAnsi="Times New Roman" w:eastAsia="方正仿宋_GBK"/>
          <w:b/>
          <w:color w:val="auto"/>
          <w:sz w:val="30"/>
          <w:szCs w:val="30"/>
        </w:rPr>
        <w:t>）课程考核</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课程考核的方式可以是口试、笔试或课程论文等形式，由任课教师负责。硕士生公共课采用考试方式；学科核心课程闭卷考试成绩占比不得低于30%。专业核心课程成绩及格线为75分，其他课程及格线为60分。各课程的考核方式须在教学大纲中予以明确并严格执行。</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三</w:t>
      </w:r>
      <w:r>
        <w:rPr>
          <w:rFonts w:ascii="Times New Roman" w:hAnsi="Times New Roman" w:eastAsia="方正仿宋_GBK"/>
          <w:b/>
          <w:color w:val="auto"/>
          <w:sz w:val="30"/>
          <w:szCs w:val="30"/>
        </w:rPr>
        <w:t>）学术活动考核</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学术活动结束后三个工作日之内通过研究生管理信息系统提交报告，导师或导师组据实考核。要求硕士研究生在学习期间至少参加15次学术活动。</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四</w:t>
      </w:r>
      <w:r>
        <w:rPr>
          <w:rFonts w:ascii="Times New Roman" w:hAnsi="Times New Roman" w:eastAsia="方正仿宋_GBK"/>
          <w:b/>
          <w:color w:val="auto"/>
          <w:sz w:val="30"/>
          <w:szCs w:val="30"/>
        </w:rPr>
        <w:t>）实践</w:t>
      </w:r>
      <w:r>
        <w:rPr>
          <w:rFonts w:hint="eastAsia" w:ascii="Times New Roman" w:hAnsi="Times New Roman" w:eastAsia="方正仿宋_GBK"/>
          <w:b/>
          <w:color w:val="auto"/>
          <w:sz w:val="30"/>
          <w:szCs w:val="30"/>
        </w:rPr>
        <w:t>训练</w:t>
      </w:r>
      <w:r>
        <w:rPr>
          <w:rFonts w:ascii="Times New Roman" w:hAnsi="Times New Roman" w:eastAsia="方正仿宋_GBK"/>
          <w:b/>
          <w:color w:val="auto"/>
          <w:sz w:val="30"/>
          <w:szCs w:val="30"/>
        </w:rPr>
        <w:t>考核</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实践活动结束后，一周内通过研究生管理信息系统提交活动报告或总结，由导师或导师组据实考核。</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五</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学业综合</w:t>
      </w:r>
      <w:r>
        <w:rPr>
          <w:rFonts w:ascii="Times New Roman" w:hAnsi="Times New Roman" w:eastAsia="方正仿宋_GBK"/>
          <w:b/>
          <w:color w:val="auto"/>
          <w:sz w:val="30"/>
          <w:szCs w:val="30"/>
        </w:rPr>
        <w:t>考核</w:t>
      </w:r>
    </w:p>
    <w:p>
      <w:pPr>
        <w:snapToGrid w:val="0"/>
        <w:spacing w:before="156" w:beforeLines="50" w:after="156" w:after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学业综合考核一般应在第三学期内完成，主要包括思想政治表现、中外主文献研读、课程及培养环节完成情况等内容。</w:t>
      </w:r>
    </w:p>
    <w:p>
      <w:pPr>
        <w:snapToGrid w:val="0"/>
        <w:spacing w:before="156" w:beforeLines="50" w:after="156" w:after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学业综合考核的结果分为通过、不通过。学业综合考核通过者，方可进行学位（毕业）论文开题。学业综合考核未通过者，按退学处理。</w:t>
      </w:r>
    </w:p>
    <w:p>
      <w:pPr>
        <w:snapToGrid w:val="0"/>
        <w:spacing w:before="156" w:beforeLines="50" w:after="156" w:afterLines="50" w:line="400" w:lineRule="exact"/>
        <w:ind w:firstLine="600" w:firstLineChars="200"/>
        <w:jc w:val="left"/>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六</w:t>
      </w: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开题报告</w:t>
      </w:r>
    </w:p>
    <w:p>
      <w:pPr>
        <w:snapToGrid w:val="0"/>
        <w:spacing w:before="156" w:beforeLines="50" w:after="156" w:after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开题报告会是为阐述、审核、确定硕士研究生学位论文选题及内容而举行的报告会，旨在监督和保证硕士研究生学位论文质量。根据研究生选题情况，按二级学科成立开题报告审查小组，由不少于3人，具有硕士生指导资格的、副高级及以上职称的教师组成专家小组进行开题报告会。由专家成员匿名投票决定开题是否通过，需有2/3以上的成员同意通过，表明研究生通过开题，方可进入论文撰写阶段。</w:t>
      </w:r>
    </w:p>
    <w:p>
      <w:pPr>
        <w:snapToGrid w:val="0"/>
        <w:spacing w:before="156" w:beforeLines="50" w:after="156" w:afterLines="50" w:line="400" w:lineRule="exact"/>
        <w:ind w:firstLine="600" w:firstLineChars="200"/>
        <w:jc w:val="left"/>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硕士研究生</w:t>
      </w:r>
      <w:r>
        <w:rPr>
          <w:rFonts w:hint="eastAsia" w:ascii="Times New Roman" w:hAnsi="Times New Roman" w:eastAsia="方正仿宋_GBK"/>
          <w:color w:val="auto"/>
          <w:sz w:val="30"/>
          <w:szCs w:val="30"/>
          <w:lang w:val="en-US" w:eastAsia="zh-CN"/>
        </w:rPr>
        <w:t>学业综合考核</w:t>
      </w:r>
      <w:r>
        <w:rPr>
          <w:rFonts w:hint="eastAsia" w:ascii="Times New Roman" w:hAnsi="Times New Roman" w:eastAsia="方正仿宋_GBK"/>
          <w:color w:val="auto"/>
          <w:sz w:val="30"/>
          <w:szCs w:val="30"/>
        </w:rPr>
        <w:t>合格后方可进入学位论文开题报告阶段。开题报告会原则上一般安排在第四学期第9至10周之间进行。硕士研究生应于开题报告会举行2周前完成《学位论文开题报告书》，并送交开题报告委员会备案。未按时提交《学位论文开题报告书》者，不得参加本学期学位论文开题。学位论文开题报告按考评成绩，分为通过和不通过。开题结束后，硕士生将开题报告表提交学院备案。未通过者，可申请2-3个月后进行第二次开题；两次未通过者（含主动放弃者），按退学处理。研究过程中，如论文课题出现重大变动，应重新组织开题。自开题报告通过至申请论文答辩原则上应不少于1年。</w:t>
      </w:r>
    </w:p>
    <w:p>
      <w:pPr>
        <w:snapToGrid w:val="0"/>
        <w:spacing w:before="156" w:beforeLines="50" w:after="156" w:afterLines="50" w:line="400" w:lineRule="exact"/>
        <w:ind w:firstLine="600" w:firstLineChars="200"/>
        <w:jc w:val="left"/>
        <w:rPr>
          <w:rFonts w:ascii="Times New Roman" w:hAnsi="Times New Roman" w:eastAsia="方正仿宋_GBK"/>
          <w:b/>
          <w:color w:val="auto"/>
          <w:sz w:val="30"/>
          <w:szCs w:val="30"/>
        </w:rPr>
      </w:pPr>
    </w:p>
    <w:p>
      <w:pPr>
        <w:snapToGrid w:val="0"/>
        <w:spacing w:before="156" w:beforeLines="50" w:after="156" w:afterLines="50" w:line="400" w:lineRule="exact"/>
        <w:ind w:firstLine="600" w:firstLineChars="200"/>
        <w:jc w:val="left"/>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七</w:t>
      </w:r>
      <w:r>
        <w:rPr>
          <w:rFonts w:ascii="Times New Roman" w:hAnsi="Times New Roman" w:eastAsia="方正仿宋_GBK"/>
          <w:b/>
          <w:color w:val="auto"/>
          <w:sz w:val="30"/>
          <w:szCs w:val="30"/>
        </w:rPr>
        <w:t>）</w:t>
      </w:r>
      <w:bookmarkStart w:id="2" w:name="_Hlk101513428"/>
      <w:r>
        <w:rPr>
          <w:rFonts w:hint="eastAsia" w:ascii="Times New Roman" w:hAnsi="Times New Roman" w:eastAsia="方正仿宋_GBK"/>
          <w:b/>
          <w:color w:val="auto"/>
          <w:sz w:val="30"/>
          <w:szCs w:val="30"/>
        </w:rPr>
        <w:t>中期考核及论文进展检查</w:t>
      </w:r>
      <w:bookmarkEnd w:id="2"/>
    </w:p>
    <w:p>
      <w:pPr>
        <w:snapToGrid w:val="0"/>
        <w:spacing w:before="156" w:beforeLines="50" w:after="156" w:afterLines="50" w:line="400" w:lineRule="exact"/>
        <w:ind w:firstLine="600" w:firstLineChars="200"/>
        <w:jc w:val="left"/>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硕士生在论文研究进行过程中应按阶段不断总结并在一定范围内报告论文进展情况。导师、导师组及有关人员应帮助分析论文工作中的难点，找出不足，明确下一步研究的方向和重点，促进论文工作顺利开展。</w:t>
      </w:r>
    </w:p>
    <w:p>
      <w:pPr>
        <w:snapToGrid w:val="0"/>
        <w:spacing w:before="156" w:beforeLines="50" w:after="156" w:afterLines="50" w:line="400" w:lineRule="exact"/>
        <w:ind w:firstLine="600" w:firstLineChars="200"/>
        <w:jc w:val="left"/>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中期考核及论文进展检查在二级学科范围内组织检查小组对硕士生的综合能力、论文工作进展情况以及工作态度和精力投入等进行全面检查。检查小组应当由3-5名教师组成，属于学科交叉培养硕士生的进展检查应当聘请所涉其他学科的专家参加。中期考核及论文进展检查通过者，准予继续进行论文工作；未通过者，是否继续进行论文工作由导师或导师组确定。</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八</w:t>
      </w:r>
      <w:r>
        <w:rPr>
          <w:rFonts w:ascii="Times New Roman" w:hAnsi="Times New Roman" w:eastAsia="方正仿宋_GBK"/>
          <w:b/>
          <w:color w:val="auto"/>
          <w:sz w:val="30"/>
          <w:szCs w:val="30"/>
        </w:rPr>
        <w:t>）学位</w:t>
      </w:r>
      <w:r>
        <w:rPr>
          <w:rFonts w:hint="eastAsia" w:ascii="Times New Roman" w:hAnsi="Times New Roman" w:eastAsia="方正仿宋_GBK"/>
          <w:b/>
          <w:color w:val="auto"/>
          <w:sz w:val="30"/>
          <w:szCs w:val="30"/>
        </w:rPr>
        <w:t>（毕业）</w:t>
      </w:r>
      <w:r>
        <w:rPr>
          <w:rFonts w:ascii="Times New Roman" w:hAnsi="Times New Roman" w:eastAsia="方正仿宋_GBK"/>
          <w:b/>
          <w:color w:val="auto"/>
          <w:sz w:val="30"/>
          <w:szCs w:val="30"/>
        </w:rPr>
        <w:t>论文</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1.预答辩与预审</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硕士研究生一般应在正式提交硕士学位论文答辩申请一个月前完成论文预答辩/预审。预答辩/预审原则上安排在第五学期中期进行。</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申请硕士学位论文预答辩/预审应同时具备两个基本条件：①已完成硕士研究生个人培养计划规定的全部内容，并经审查合格的；②硕士学位论文已修改定稿，并被导师推荐参加预答辩/预审的。导师没有对论文签署意见，硕士生指导委员会不接受论文预答辩/预审。</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预答辩结果由硕士生指导委员会以无记名投票的方式决定，无记名投票以百分制打分方式进行：①80分（含）以上者，为预答辩“通过”；②70分（含）～80分（不含）者，为预答辩“通过但要进行适当修改”；③60分（含）～70分（不含）者，为预答辩“通过但责成导师督促学生作重大修改”；④60分（不含）以下者，为预答辩“不通过”。</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预审结果由硕士生指导委员会以书面形式返回硕士生。已通过学位论文预答辩/预审的硕士研究生，应依据学校规定的程序申请硕士学位论文答辩。学位论文需修改后通过（包括适当修改和重大修改两种情况）的硕士研究生，1个月后可再次提出预答辩/预审申请。学位论文未通过预答辩/预审的硕士研究生，3个月后可再次提出预答辩/预审申请。所有申请人应根据硕士生指导委员会在预答辩/预审中提出的论文修改意见，对论文做相应修改，并提交与修改意见对应的修改说明。对需要再次预答辩的硕士研究生，硕士生指导委员根据实际情况在适当时候组织安排预答辩。预答辩/预审未通过的论文不能进入正式答辩。</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2.查重</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第六学期收集硕士学位论文进行查重工作，文字重合百分比不超过20%。</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3.盲审</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导师审核同意，以及预答辩专家委员会一致同意通过预答辩，方能送审。</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按照西南大学研究生学位论文外审要求，提交学院统一安排送审。</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4.答辩</w:t>
      </w:r>
    </w:p>
    <w:p>
      <w:pPr>
        <w:snapToGrid w:val="0"/>
        <w:spacing w:line="52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按照西南大学申请硕士论文答辩要求，答辩不通过者，在对论文进行全面修改后，经论文答辩委员会同意，按学校相关要求申请第二次答辩。</w:t>
      </w:r>
    </w:p>
    <w:p>
      <w:pPr>
        <w:snapToGrid w:val="0"/>
        <w:spacing w:line="520" w:lineRule="exact"/>
        <w:ind w:firstLine="600" w:firstLineChars="200"/>
        <w:rPr>
          <w:rFonts w:ascii="Times New Roman" w:hAnsi="Times New Roman" w:eastAsia="方正仿宋_GBK"/>
          <w:b/>
          <w:color w:val="auto"/>
          <w:sz w:val="30"/>
          <w:szCs w:val="30"/>
        </w:rPr>
      </w:pPr>
      <w:r>
        <w:rPr>
          <w:rFonts w:ascii="Times New Roman" w:hAnsi="Times New Roman" w:eastAsia="方正仿宋_GBK"/>
          <w:b/>
          <w:color w:val="auto"/>
          <w:sz w:val="30"/>
          <w:szCs w:val="30"/>
        </w:rPr>
        <w:t>（</w:t>
      </w:r>
      <w:r>
        <w:rPr>
          <w:rFonts w:hint="eastAsia" w:ascii="Times New Roman" w:hAnsi="Times New Roman" w:eastAsia="方正仿宋_GBK"/>
          <w:b/>
          <w:color w:val="auto"/>
          <w:sz w:val="30"/>
          <w:szCs w:val="30"/>
        </w:rPr>
        <w:t>九</w:t>
      </w:r>
      <w:r>
        <w:rPr>
          <w:rFonts w:ascii="Times New Roman" w:hAnsi="Times New Roman" w:eastAsia="方正仿宋_GBK"/>
          <w:b/>
          <w:color w:val="auto"/>
          <w:sz w:val="30"/>
          <w:szCs w:val="30"/>
        </w:rPr>
        <w:t>）学术成果要求</w:t>
      </w:r>
    </w:p>
    <w:p>
      <w:pPr>
        <w:snapToGrid w:val="0"/>
        <w:spacing w:line="520" w:lineRule="exact"/>
        <w:ind w:firstLine="600" w:firstLineChars="200"/>
        <w:rPr>
          <w:rFonts w:hint="eastAsia" w:ascii="Times New Roman" w:hAnsi="Times New Roman" w:eastAsia="方正仿宋_GBK"/>
          <w:b/>
          <w:bCs/>
          <w:color w:val="auto"/>
          <w:sz w:val="30"/>
          <w:szCs w:val="30"/>
        </w:rPr>
      </w:pPr>
      <w:r>
        <w:rPr>
          <w:rFonts w:hint="eastAsia" w:ascii="Times New Roman" w:hAnsi="Times New Roman" w:eastAsia="方正仿宋_GBK"/>
          <w:b/>
          <w:bCs/>
          <w:color w:val="auto"/>
          <w:sz w:val="30"/>
          <w:szCs w:val="30"/>
        </w:rPr>
        <w:t>研究生学习期间至少获得以下类别的成果一项及以上，且与学位论文有相关性：</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1、以独立作者或第一作者署名公开发表本学科领域学术论文（或译文）1篇（导师为第一作者学生为第二作者，学生视为第一作者；西南大学为第一署名单位），或在B级（见附录）及以上期刊发表论文，无署名顺序要求。</w:t>
      </w:r>
      <w:bookmarkStart w:id="4" w:name="_GoBack"/>
      <w:bookmarkEnd w:id="4"/>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2、主持校级及以上科研项目一项。</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3、参与公开出版的学术专著、译著或教材，完成字数三千字以上并署名。</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4、参与厅局级及以上科研项目一项（以立项书为准）。</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5、参加省级及以上学会学术会议并提交论文且被论文集收录。</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6、参与的咨询报告或调研报告等被相关部门采纳。</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留学生硕士不做要求。</w:t>
      </w:r>
    </w:p>
    <w:p>
      <w:pPr>
        <w:snapToGrid w:val="0"/>
        <w:spacing w:line="520" w:lineRule="exact"/>
        <w:ind w:firstLine="600" w:firstLineChars="200"/>
        <w:rPr>
          <w:rFonts w:hint="eastAsia" w:ascii="Times New Roman" w:hAnsi="Times New Roman" w:eastAsia="方正仿宋_GBK"/>
          <w:color w:val="auto"/>
          <w:sz w:val="30"/>
          <w:szCs w:val="30"/>
        </w:rPr>
      </w:pP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附录：</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1.A级</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（1）在CSSCI来源刊物上发表的学术论文。</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（2）在《光明日报》《人民日报》《经济日报》上发表的理论文章（1500字及以上，随笔、报道、短论除外）。</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（3）被人大《复印报刊资料》《中国社会科学文摘》《高等学校文科学术文摘》全文转摘的学术论文。</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（4）在中科院JCR分区（社会科学引文数据库）三区期刊上发表的学术论文；在A＆HCI收录期刊上发表的学术论文；在ERIHPLUS（欧洲人文社科索引）、SCOPUS收录期刊上发表的学术论文。</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2.B级</w:t>
      </w:r>
    </w:p>
    <w:p>
      <w:pPr>
        <w:snapToGrid w:val="0"/>
        <w:spacing w:line="520" w:lineRule="exact"/>
        <w:ind w:firstLine="600" w:firstLineChars="200"/>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除A级论文外，在中文核心要目总览来源刊物、CSSCI来源刊物扩展版上发表的学术论文。在中科院JCR分区（社会科学引文数据库）四区期刊上发表的学术论文。</w:t>
      </w:r>
    </w:p>
    <w:p>
      <w:pPr>
        <w:snapToGrid w:val="0"/>
        <w:spacing w:before="156" w:beforeLines="50" w:after="156" w:afterLines="50" w:line="400" w:lineRule="exact"/>
        <w:ind w:left="596" w:leftChars="284"/>
        <w:jc w:val="left"/>
        <w:rPr>
          <w:rFonts w:ascii="Times New Roman" w:hAnsi="Times New Roman" w:eastAsia="方正黑体_GBK"/>
          <w:color w:val="auto"/>
          <w:sz w:val="30"/>
          <w:szCs w:val="30"/>
        </w:rPr>
      </w:pPr>
      <w:r>
        <w:rPr>
          <w:rFonts w:ascii="Times New Roman" w:hAnsi="Times New Roman" w:eastAsia="方正黑体_GBK"/>
          <w:color w:val="auto"/>
          <w:sz w:val="30"/>
          <w:szCs w:val="30"/>
        </w:rPr>
        <w:t>八、</w:t>
      </w:r>
      <w:bookmarkStart w:id="3" w:name="_Hlk16849988"/>
      <w:r>
        <w:rPr>
          <w:rFonts w:hint="eastAsia" w:ascii="Times New Roman" w:hAnsi="Times New Roman" w:eastAsia="方正黑体_GBK"/>
          <w:color w:val="auto"/>
          <w:sz w:val="30"/>
          <w:szCs w:val="30"/>
        </w:rPr>
        <w:t>关于港澳台研究生</w:t>
      </w:r>
    </w:p>
    <w:p>
      <w:pPr>
        <w:snapToGrid w:val="0"/>
        <w:spacing w:before="156" w:beforeLines="50" w:after="156" w:afterLines="50" w:line="400" w:lineRule="exact"/>
        <w:ind w:firstLine="600" w:firstLineChars="200"/>
        <w:jc w:val="left"/>
        <w:rPr>
          <w:rFonts w:ascii="Times New Roman" w:hAnsi="Times New Roman" w:eastAsia="方正仿宋_GBK"/>
          <w:color w:val="auto"/>
          <w:sz w:val="30"/>
          <w:szCs w:val="30"/>
        </w:rPr>
      </w:pPr>
      <w:r>
        <w:rPr>
          <w:rFonts w:ascii="Times New Roman" w:hAnsi="Times New Roman" w:eastAsia="方正仿宋_GBK"/>
          <w:color w:val="auto"/>
          <w:sz w:val="30"/>
          <w:szCs w:val="30"/>
        </w:rPr>
        <w:t>来自香港、澳门和台湾的研究生</w:t>
      </w:r>
      <w:r>
        <w:rPr>
          <w:rFonts w:hint="eastAsia" w:ascii="Times New Roman" w:hAnsi="Times New Roman" w:eastAsia="方正仿宋_GBK"/>
          <w:color w:val="auto"/>
          <w:sz w:val="30"/>
          <w:szCs w:val="30"/>
        </w:rPr>
        <w:t>按照</w:t>
      </w:r>
      <w:r>
        <w:rPr>
          <w:rFonts w:ascii="Times New Roman" w:hAnsi="Times New Roman" w:eastAsia="方正仿宋_GBK"/>
          <w:color w:val="auto"/>
          <w:sz w:val="30"/>
          <w:szCs w:val="30"/>
        </w:rPr>
        <w:t>本培养方案执行。</w:t>
      </w:r>
    </w:p>
    <w:bookmarkEnd w:id="3"/>
    <w:p>
      <w:pPr>
        <w:snapToGrid w:val="0"/>
        <w:spacing w:line="400" w:lineRule="exact"/>
        <w:ind w:firstLine="600" w:firstLineChars="200"/>
        <w:jc w:val="left"/>
        <w:rPr>
          <w:rFonts w:ascii="Times New Roman" w:hAnsi="Times New Roman" w:eastAsia="方正黑体_GBK"/>
          <w:color w:val="auto"/>
          <w:sz w:val="30"/>
          <w:szCs w:val="30"/>
        </w:rPr>
      </w:pPr>
      <w:r>
        <w:rPr>
          <w:rFonts w:ascii="Times New Roman" w:hAnsi="Times New Roman" w:eastAsia="方正黑体_GBK"/>
          <w:color w:val="auto"/>
          <w:sz w:val="30"/>
          <w:szCs w:val="30"/>
        </w:rPr>
        <w:t>九、关于</w:t>
      </w:r>
      <w:r>
        <w:rPr>
          <w:rFonts w:hint="eastAsia" w:ascii="Times New Roman" w:hAnsi="Times New Roman" w:eastAsia="方正黑体_GBK"/>
          <w:color w:val="auto"/>
          <w:sz w:val="30"/>
          <w:szCs w:val="30"/>
        </w:rPr>
        <w:t>国际</w:t>
      </w:r>
      <w:r>
        <w:rPr>
          <w:rFonts w:ascii="Times New Roman" w:hAnsi="Times New Roman" w:eastAsia="方正黑体_GBK"/>
          <w:color w:val="auto"/>
          <w:sz w:val="30"/>
          <w:szCs w:val="30"/>
        </w:rPr>
        <w:t>学</w:t>
      </w:r>
      <w:r>
        <w:rPr>
          <w:rFonts w:hint="eastAsia" w:ascii="Times New Roman" w:hAnsi="Times New Roman" w:eastAsia="方正黑体_GBK"/>
          <w:color w:val="auto"/>
          <w:sz w:val="30"/>
          <w:szCs w:val="30"/>
        </w:rPr>
        <w:t>生</w:t>
      </w:r>
    </w:p>
    <w:p>
      <w:pPr>
        <w:snapToGrid w:val="0"/>
        <w:spacing w:before="156" w:beforeLines="50" w:after="156" w:afterLines="50" w:line="400" w:lineRule="exact"/>
        <w:ind w:firstLine="600" w:firstLineChars="200"/>
        <w:jc w:val="left"/>
        <w:rPr>
          <w:rFonts w:ascii="Times New Roman" w:hAnsi="Times New Roman" w:eastAsia="方正黑体_GBK"/>
          <w:color w:val="auto"/>
          <w:sz w:val="30"/>
          <w:szCs w:val="30"/>
        </w:rPr>
        <w:sectPr>
          <w:pgSz w:w="11906" w:h="16838"/>
          <w:pgMar w:top="1418" w:right="1247" w:bottom="1418" w:left="1247" w:header="851" w:footer="992" w:gutter="0"/>
          <w:cols w:space="720" w:num="1"/>
          <w:docGrid w:type="linesAndChars" w:linePitch="312" w:charSpace="0"/>
        </w:sectPr>
      </w:pPr>
      <w:r>
        <w:rPr>
          <w:rFonts w:hint="eastAsia" w:ascii="Times New Roman" w:hAnsi="Times New Roman" w:eastAsia="方正仿宋_GBK"/>
          <w:color w:val="auto"/>
          <w:sz w:val="30"/>
          <w:szCs w:val="30"/>
        </w:rPr>
        <w:t>来华留学硕士研究生免除“思想政治理论”和“第一外国语”课程的学习和考核，增设“中国概况”和“汉语”为必修课。其它要求按相应学科专业的全日制研究生培养方案执行。有来华留学生的培养学科需提供对应英文版培养方案。</w:t>
      </w:r>
    </w:p>
    <w:p>
      <w:pPr>
        <w:snapToGrid w:val="0"/>
        <w:spacing w:before="156" w:beforeLines="50" w:after="156" w:afterLines="50" w:line="400" w:lineRule="exact"/>
        <w:ind w:firstLine="600" w:firstLineChars="200"/>
        <w:jc w:val="left"/>
        <w:rPr>
          <w:rFonts w:ascii="Times New Roman" w:hAnsi="Times New Roman" w:eastAsia="方正黑体_GBK"/>
          <w:color w:val="auto"/>
          <w:sz w:val="30"/>
          <w:szCs w:val="30"/>
        </w:rPr>
      </w:pPr>
      <w:r>
        <w:rPr>
          <w:rFonts w:hint="eastAsia" w:ascii="Times New Roman" w:hAnsi="Times New Roman" w:eastAsia="方正黑体_GBK"/>
          <w:color w:val="auto"/>
          <w:sz w:val="30"/>
          <w:szCs w:val="30"/>
        </w:rPr>
        <w:t>十、</w:t>
      </w:r>
      <w:r>
        <w:rPr>
          <w:rFonts w:ascii="Times New Roman" w:hAnsi="Times New Roman" w:eastAsia="方正黑体_GBK"/>
          <w:color w:val="auto"/>
          <w:sz w:val="30"/>
          <w:szCs w:val="30"/>
        </w:rPr>
        <w:t>培养方案审核意见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9628" w:type="dxa"/>
          </w:tcPr>
          <w:p>
            <w:pPr>
              <w:spacing w:line="500" w:lineRule="atLeast"/>
              <w:rPr>
                <w:rFonts w:ascii="Times New Roman" w:hAnsi="Times New Roman"/>
                <w:color w:val="auto"/>
                <w:szCs w:val="21"/>
              </w:rPr>
            </w:pPr>
            <w:r>
              <w:rPr>
                <w:rFonts w:ascii="Times New Roman" w:hAnsi="Times New Roman"/>
                <w:color w:val="auto"/>
                <w:szCs w:val="21"/>
              </w:rPr>
              <w:t>所在培养单位学术分委员会意见：</w:t>
            </w: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ind w:firstLine="4140"/>
              <w:rPr>
                <w:rFonts w:ascii="Times New Roman" w:hAnsi="Times New Roman"/>
                <w:color w:val="auto"/>
                <w:szCs w:val="21"/>
              </w:rPr>
            </w:pPr>
            <w:r>
              <w:rPr>
                <w:rFonts w:ascii="Times New Roman" w:hAnsi="Times New Roman"/>
                <w:color w:val="auto"/>
                <w:szCs w:val="21"/>
              </w:rPr>
              <w:t>负责人（签名）：</w:t>
            </w:r>
          </w:p>
          <w:p>
            <w:pPr>
              <w:spacing w:after="120" w:line="500" w:lineRule="atLeast"/>
              <w:ind w:firstLine="5978"/>
              <w:rPr>
                <w:rFonts w:ascii="Times New Roman" w:hAnsi="Times New Roman"/>
                <w:color w:val="auto"/>
                <w:szCs w:val="21"/>
              </w:rPr>
            </w:pPr>
            <w:r>
              <w:rPr>
                <w:rFonts w:ascii="Times New Roman" w:hAnsi="Times New Roman"/>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9628" w:type="dxa"/>
          </w:tcPr>
          <w:p>
            <w:pPr>
              <w:spacing w:line="500" w:lineRule="atLeast"/>
              <w:rPr>
                <w:rFonts w:ascii="Times New Roman" w:hAnsi="Times New Roman"/>
                <w:color w:val="auto"/>
                <w:szCs w:val="21"/>
              </w:rPr>
            </w:pPr>
            <w:r>
              <w:rPr>
                <w:rFonts w:ascii="Times New Roman" w:hAnsi="Times New Roman"/>
                <w:color w:val="auto"/>
                <w:szCs w:val="21"/>
              </w:rPr>
              <w:t>学部学术委员会意见：</w:t>
            </w: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ind w:firstLine="4140"/>
              <w:rPr>
                <w:rFonts w:ascii="Times New Roman" w:hAnsi="Times New Roman"/>
                <w:color w:val="auto"/>
                <w:szCs w:val="21"/>
              </w:rPr>
            </w:pPr>
            <w:r>
              <w:rPr>
                <w:rFonts w:ascii="Times New Roman" w:hAnsi="Times New Roman"/>
                <w:color w:val="auto"/>
                <w:szCs w:val="21"/>
              </w:rPr>
              <w:t>负责人（签名）：</w:t>
            </w:r>
          </w:p>
          <w:p>
            <w:pPr>
              <w:spacing w:after="120" w:line="500" w:lineRule="atLeast"/>
              <w:ind w:firstLine="5978"/>
              <w:rPr>
                <w:rFonts w:ascii="Times New Roman" w:hAnsi="Times New Roman"/>
                <w:color w:val="auto"/>
                <w:szCs w:val="21"/>
              </w:rPr>
            </w:pPr>
            <w:r>
              <w:rPr>
                <w:rFonts w:ascii="Times New Roman" w:hAnsi="Times New Roman"/>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9628" w:type="dxa"/>
          </w:tcPr>
          <w:p>
            <w:pPr>
              <w:spacing w:line="500" w:lineRule="atLeast"/>
              <w:rPr>
                <w:rFonts w:ascii="Times New Roman" w:hAnsi="Times New Roman"/>
                <w:color w:val="auto"/>
                <w:szCs w:val="21"/>
              </w:rPr>
            </w:pPr>
            <w:r>
              <w:rPr>
                <w:rFonts w:hint="eastAsia" w:ascii="Times New Roman" w:hAnsi="Times New Roman"/>
                <w:color w:val="auto"/>
                <w:szCs w:val="21"/>
              </w:rPr>
              <w:t>学校</w:t>
            </w:r>
            <w:r>
              <w:rPr>
                <w:rFonts w:ascii="Times New Roman" w:hAnsi="Times New Roman"/>
                <w:color w:val="auto"/>
                <w:szCs w:val="21"/>
              </w:rPr>
              <w:t>审核意见：</w:t>
            </w: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spacing w:line="500" w:lineRule="atLeast"/>
              <w:rPr>
                <w:rFonts w:ascii="Times New Roman" w:hAnsi="Times New Roman"/>
                <w:color w:val="auto"/>
                <w:szCs w:val="21"/>
              </w:rPr>
            </w:pPr>
          </w:p>
          <w:p>
            <w:pPr>
              <w:tabs>
                <w:tab w:val="left" w:pos="5895"/>
              </w:tabs>
              <w:spacing w:line="500" w:lineRule="atLeast"/>
              <w:ind w:firstLine="4200" w:firstLineChars="2000"/>
              <w:rPr>
                <w:rFonts w:ascii="Times New Roman" w:hAnsi="Times New Roman"/>
                <w:color w:val="auto"/>
                <w:szCs w:val="21"/>
              </w:rPr>
            </w:pPr>
            <w:r>
              <w:rPr>
                <w:rFonts w:ascii="Times New Roman" w:hAnsi="Times New Roman"/>
                <w:color w:val="auto"/>
                <w:szCs w:val="21"/>
              </w:rPr>
              <w:t xml:space="preserve">负责人（签名）： </w:t>
            </w:r>
          </w:p>
          <w:p>
            <w:pPr>
              <w:spacing w:line="500" w:lineRule="atLeast"/>
              <w:ind w:firstLine="5985" w:firstLineChars="2850"/>
              <w:rPr>
                <w:rFonts w:ascii="Times New Roman" w:hAnsi="Times New Roman"/>
                <w:color w:val="auto"/>
                <w:szCs w:val="21"/>
              </w:rPr>
            </w:pPr>
            <w:r>
              <w:rPr>
                <w:rFonts w:ascii="Times New Roman" w:hAnsi="Times New Roman"/>
                <w:color w:val="auto"/>
                <w:szCs w:val="21"/>
              </w:rPr>
              <w:t>年　　月　　日</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wZTg4MTYxNDkzOTBlZTY5YmU3MjIwMTBlMjA1OGEifQ=="/>
  </w:docVars>
  <w:rsids>
    <w:rsidRoot w:val="2C5030C7"/>
    <w:rsid w:val="00027BA4"/>
    <w:rsid w:val="0009134D"/>
    <w:rsid w:val="00092152"/>
    <w:rsid w:val="000A077F"/>
    <w:rsid w:val="000C1C03"/>
    <w:rsid w:val="00107B77"/>
    <w:rsid w:val="00142604"/>
    <w:rsid w:val="00163542"/>
    <w:rsid w:val="001B27DF"/>
    <w:rsid w:val="00204C6A"/>
    <w:rsid w:val="00237269"/>
    <w:rsid w:val="00243ACC"/>
    <w:rsid w:val="003D7352"/>
    <w:rsid w:val="00406FA3"/>
    <w:rsid w:val="004475B6"/>
    <w:rsid w:val="0058468B"/>
    <w:rsid w:val="0059316C"/>
    <w:rsid w:val="00672DA0"/>
    <w:rsid w:val="006741FE"/>
    <w:rsid w:val="00676695"/>
    <w:rsid w:val="00676AC0"/>
    <w:rsid w:val="006C7BC2"/>
    <w:rsid w:val="006D563A"/>
    <w:rsid w:val="006F5B55"/>
    <w:rsid w:val="00765277"/>
    <w:rsid w:val="007A2F13"/>
    <w:rsid w:val="007C63B4"/>
    <w:rsid w:val="00820C10"/>
    <w:rsid w:val="008B2BAD"/>
    <w:rsid w:val="009264AD"/>
    <w:rsid w:val="009A087F"/>
    <w:rsid w:val="00A52A02"/>
    <w:rsid w:val="00A6397B"/>
    <w:rsid w:val="00A86891"/>
    <w:rsid w:val="00AB5EF0"/>
    <w:rsid w:val="00AC7826"/>
    <w:rsid w:val="00B20DAE"/>
    <w:rsid w:val="00BE1B64"/>
    <w:rsid w:val="00C1368A"/>
    <w:rsid w:val="00C92C7D"/>
    <w:rsid w:val="00CA1015"/>
    <w:rsid w:val="00CB7F85"/>
    <w:rsid w:val="00CD2AB6"/>
    <w:rsid w:val="00CF06F7"/>
    <w:rsid w:val="00D30AF8"/>
    <w:rsid w:val="00D51FD8"/>
    <w:rsid w:val="00D6611F"/>
    <w:rsid w:val="00D743E8"/>
    <w:rsid w:val="00D8089C"/>
    <w:rsid w:val="00D80C15"/>
    <w:rsid w:val="00D902D9"/>
    <w:rsid w:val="00DD353B"/>
    <w:rsid w:val="00E046BD"/>
    <w:rsid w:val="00E1114F"/>
    <w:rsid w:val="00EB0F69"/>
    <w:rsid w:val="00EE4C7E"/>
    <w:rsid w:val="00F35DB6"/>
    <w:rsid w:val="00FF4325"/>
    <w:rsid w:val="0D9F57CD"/>
    <w:rsid w:val="101B798E"/>
    <w:rsid w:val="1DD3539E"/>
    <w:rsid w:val="2C5030C7"/>
    <w:rsid w:val="3876629D"/>
    <w:rsid w:val="406B4850"/>
    <w:rsid w:val="4B1D5463"/>
    <w:rsid w:val="4D094F51"/>
    <w:rsid w:val="742E7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样式5"/>
    <w:basedOn w:val="1"/>
    <w:next w:val="1"/>
    <w:qFormat/>
    <w:uiPriority w:val="0"/>
    <w:rPr>
      <w:rFonts w:ascii="Times New Roman" w:hAnsi="Times New Roman"/>
    </w:rPr>
  </w:style>
  <w:style w:type="paragraph" w:customStyle="1" w:styleId="9">
    <w:name w:val="样式6"/>
    <w:basedOn w:val="1"/>
    <w:next w:val="1"/>
    <w:qFormat/>
    <w:uiPriority w:val="0"/>
    <w:pPr>
      <w:spacing w:line="360" w:lineRule="auto"/>
    </w:pPr>
    <w:rPr>
      <w:rFonts w:hint="eastAsia" w:ascii="宋体" w:hAnsi="宋体"/>
      <w:b/>
      <w:sz w:val="24"/>
    </w:rPr>
  </w:style>
  <w:style w:type="character" w:customStyle="1" w:styleId="10">
    <w:name w:val="页眉 字符"/>
    <w:basedOn w:val="7"/>
    <w:link w:val="5"/>
    <w:qFormat/>
    <w:uiPriority w:val="0"/>
    <w:rPr>
      <w:rFonts w:ascii="Calibri" w:hAnsi="Calibri" w:eastAsia="宋体" w:cs="Times New Roman"/>
      <w:kern w:val="2"/>
      <w:sz w:val="18"/>
      <w:szCs w:val="18"/>
    </w:rPr>
  </w:style>
  <w:style w:type="character" w:customStyle="1" w:styleId="11">
    <w:name w:val="页脚 字符"/>
    <w:basedOn w:val="7"/>
    <w:link w:val="4"/>
    <w:uiPriority w:val="0"/>
    <w:rPr>
      <w:rFonts w:ascii="Calibri" w:hAnsi="Calibri" w:eastAsia="宋体" w:cs="Times New Roman"/>
      <w:kern w:val="2"/>
      <w:sz w:val="18"/>
      <w:szCs w:val="18"/>
    </w:rPr>
  </w:style>
  <w:style w:type="character" w:customStyle="1" w:styleId="12">
    <w:name w:val="批注框文本 字符"/>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3C7B-E854-4CC3-B2DB-7BA254FC4664}">
  <ds:schemaRefs/>
</ds:datastoreItem>
</file>

<file path=docProps/app.xml><?xml version="1.0" encoding="utf-8"?>
<Properties xmlns="http://schemas.openxmlformats.org/officeDocument/2006/extended-properties" xmlns:vt="http://schemas.openxmlformats.org/officeDocument/2006/docPropsVTypes">
  <Template>Normal</Template>
  <Pages>12</Pages>
  <Words>5668</Words>
  <Characters>6106</Characters>
  <Lines>43</Lines>
  <Paragraphs>12</Paragraphs>
  <TotalTime>2</TotalTime>
  <ScaleCrop>false</ScaleCrop>
  <LinksUpToDate>false</LinksUpToDate>
  <CharactersWithSpaces>6131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2022-06-29T12:52:00Z</dcterms:created>
  <dc:creator>西研小招</dc:creator>
  <cp:lastModifiedBy>admin</cp:lastModifiedBy>
  <dcterms:modified xsi:type="dcterms:W3CDTF">2022-09-06T07:13:20Z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DB657AD2892D4D69AF67B995ADEE6337</vt:lpwstr>
  </property>
  <property fmtid="{D5CDD505-2E9C-101B-9397-08002B2CF9AE}" pid="4" name="commondata">
    <vt:lpwstr>eyJoZGlkIjoiNTIwNDdhYTA2YThhZTNiYTIxMmRmNDI3NDQ2ZDllNzMifQ==</vt:lpwstr>
  </property>
</Properties>
</file>